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F84D8" w14:textId="77777777" w:rsidR="00047E93" w:rsidRPr="00047E93" w:rsidRDefault="00047E93" w:rsidP="00047E93">
      <w:pPr>
        <w:pStyle w:val="Heading1"/>
        <w:spacing w:line="480" w:lineRule="auto"/>
        <w:jc w:val="center"/>
        <w:rPr>
          <w:rFonts w:ascii="Times New Roman" w:hAnsi="Times New Roman" w:cs="Times New Roman"/>
          <w:sz w:val="24"/>
          <w:szCs w:val="24"/>
        </w:rPr>
      </w:pPr>
      <w:r w:rsidRPr="00047E93">
        <w:rPr>
          <w:rFonts w:ascii="Times New Roman" w:eastAsia="Georgia" w:hAnsi="Times New Roman" w:cs="Times New Roman"/>
          <w:b/>
          <w:bCs/>
          <w:color w:val="1A1A1A"/>
          <w:sz w:val="24"/>
          <w:szCs w:val="24"/>
        </w:rPr>
        <w:t>The Annual Platform Diversity Report</w:t>
      </w:r>
    </w:p>
    <w:p w14:paraId="1B5CB098" w14:textId="7E10AD2A" w:rsidR="00047E93" w:rsidRPr="00047E93" w:rsidRDefault="00047E93" w:rsidP="00047E93">
      <w:pPr>
        <w:spacing w:after="80" w:line="480" w:lineRule="auto"/>
        <w:jc w:val="center"/>
        <w:rPr>
          <w:rFonts w:ascii="Times New Roman" w:hAnsi="Times New Roman" w:cs="Times New Roman"/>
          <w:sz w:val="24"/>
          <w:szCs w:val="24"/>
        </w:rPr>
      </w:pPr>
      <w:r w:rsidRPr="00047E93">
        <w:rPr>
          <w:rFonts w:ascii="Times New Roman" w:hAnsi="Times New Roman" w:cs="Times New Roman"/>
          <w:i/>
          <w:iCs/>
          <w:color w:val="555555"/>
          <w:sz w:val="24"/>
          <w:szCs w:val="24"/>
        </w:rPr>
        <w:t>A template for streaming platforms, by Riya Kamath.</w:t>
      </w:r>
    </w:p>
    <w:p w14:paraId="4DD2B7B6" w14:textId="2095514D" w:rsidR="00047E93" w:rsidRPr="00047E93" w:rsidRDefault="00047E93" w:rsidP="00047E93">
      <w:pPr>
        <w:pStyle w:val="Heading2"/>
        <w:spacing w:line="480" w:lineRule="auto"/>
        <w:rPr>
          <w:rFonts w:ascii="Times New Roman" w:hAnsi="Times New Roman" w:cs="Times New Roman"/>
          <w:sz w:val="24"/>
          <w:szCs w:val="24"/>
        </w:rPr>
      </w:pPr>
      <w:r w:rsidRPr="00047E93">
        <w:rPr>
          <w:rFonts w:ascii="Times New Roman" w:eastAsia="Georgia" w:hAnsi="Times New Roman" w:cs="Times New Roman"/>
          <w:b/>
          <w:bCs/>
          <w:color w:val="1A1A1A"/>
          <w:spacing w:val="30"/>
          <w:sz w:val="24"/>
          <w:szCs w:val="24"/>
        </w:rPr>
        <w:t>THE PREMISE</w:t>
      </w:r>
    </w:p>
    <w:p w14:paraId="27DE9138" w14:textId="77777777" w:rsidR="00047E93" w:rsidRPr="00047E93" w:rsidRDefault="00047E93" w:rsidP="00047E93">
      <w:pPr>
        <w:spacing w:after="140" w:line="480" w:lineRule="auto"/>
        <w:jc w:val="both"/>
        <w:rPr>
          <w:rFonts w:ascii="Times New Roman" w:hAnsi="Times New Roman" w:cs="Times New Roman"/>
          <w:sz w:val="24"/>
          <w:szCs w:val="24"/>
        </w:rPr>
      </w:pPr>
      <w:r w:rsidRPr="00047E93">
        <w:rPr>
          <w:rFonts w:ascii="Times New Roman" w:hAnsi="Times New Roman" w:cs="Times New Roman"/>
          <w:sz w:val="24"/>
          <w:szCs w:val="24"/>
        </w:rPr>
        <w:t>Streaming platforms publish reach statistics, subscriber numbers, and selective diversity figures. They do not publish a structured annual account of who their production pipeline brings in, what gets surfaced through the recommendation layer, how creator economics are decided, and what viewers can do to correct the model’s read of their tastes. This template proposes the structure for that account. It is organised around four pillars. Each names the categories the platform commits to disclosing, the specific metrics under each category, and what those metrics together let an outside reader determine. The template treats accountability through transparency as a design choice the industry has not yet made.</w:t>
      </w:r>
    </w:p>
    <w:p w14:paraId="2075CB7E" w14:textId="77777777" w:rsidR="00047E93" w:rsidRPr="00047E93" w:rsidRDefault="00047E93" w:rsidP="00047E93">
      <w:pPr>
        <w:pStyle w:val="Heading2"/>
        <w:spacing w:line="480" w:lineRule="auto"/>
        <w:rPr>
          <w:rFonts w:ascii="Times New Roman" w:hAnsi="Times New Roman" w:cs="Times New Roman"/>
          <w:sz w:val="24"/>
          <w:szCs w:val="24"/>
        </w:rPr>
      </w:pPr>
      <w:r w:rsidRPr="00047E93">
        <w:rPr>
          <w:rFonts w:ascii="Times New Roman" w:eastAsia="Georgia" w:hAnsi="Times New Roman" w:cs="Times New Roman"/>
          <w:b/>
          <w:bCs/>
          <w:color w:val="1A1A1A"/>
          <w:spacing w:val="30"/>
          <w:sz w:val="24"/>
          <w:szCs w:val="24"/>
        </w:rPr>
        <w:t>PILLAR ONE. PRODUCTION PIPELINE</w:t>
      </w:r>
    </w:p>
    <w:p w14:paraId="620C5273" w14:textId="77777777" w:rsidR="00047E93" w:rsidRPr="00047E93" w:rsidRDefault="00047E93" w:rsidP="00047E93">
      <w:pPr>
        <w:spacing w:after="100" w:line="480" w:lineRule="auto"/>
        <w:jc w:val="both"/>
        <w:rPr>
          <w:rFonts w:ascii="Times New Roman" w:hAnsi="Times New Roman" w:cs="Times New Roman"/>
          <w:sz w:val="24"/>
          <w:szCs w:val="24"/>
        </w:rPr>
      </w:pPr>
      <w:r w:rsidRPr="00047E93">
        <w:rPr>
          <w:rFonts w:ascii="Times New Roman" w:hAnsi="Times New Roman" w:cs="Times New Roman"/>
          <w:sz w:val="24"/>
          <w:szCs w:val="24"/>
        </w:rPr>
        <w:t>What the platform makes, broken down across the dimensions that matter for whose stories get told.</w:t>
      </w:r>
    </w:p>
    <w:p w14:paraId="0DC3F007" w14:textId="7001B056" w:rsidR="00047E93" w:rsidRPr="00047E93" w:rsidRDefault="00047E93" w:rsidP="00047E93">
      <w:pPr>
        <w:spacing w:before="80" w:after="80" w:line="480" w:lineRule="auto"/>
        <w:rPr>
          <w:rFonts w:ascii="Times New Roman" w:hAnsi="Times New Roman" w:cs="Times New Roman"/>
          <w:sz w:val="24"/>
          <w:szCs w:val="24"/>
        </w:rPr>
      </w:pPr>
      <w:r w:rsidRPr="00047E93">
        <w:rPr>
          <w:rFonts w:ascii="Times New Roman" w:hAnsi="Times New Roman" w:cs="Times New Roman"/>
          <w:b/>
          <w:bCs/>
          <w:i/>
          <w:iCs/>
          <w:sz w:val="24"/>
          <w:szCs w:val="24"/>
        </w:rPr>
        <w:t>Metrics to report annually</w:t>
      </w:r>
      <w:r>
        <w:rPr>
          <w:rFonts w:ascii="Times New Roman" w:hAnsi="Times New Roman" w:cs="Times New Roman"/>
          <w:b/>
          <w:bCs/>
          <w:i/>
          <w:iCs/>
          <w:sz w:val="24"/>
          <w:szCs w:val="24"/>
        </w:rPr>
        <w:t>:</w:t>
      </w:r>
    </w:p>
    <w:p w14:paraId="30DC05C0" w14:textId="3E6FA2FF" w:rsidR="00047E93" w:rsidRPr="00047E93" w:rsidRDefault="00047E93" w:rsidP="00047E93">
      <w:pPr>
        <w:pStyle w:val="ListParagraph"/>
        <w:numPr>
          <w:ilvl w:val="0"/>
          <w:numId w:val="3"/>
        </w:numPr>
        <w:spacing w:after="80" w:line="480" w:lineRule="auto"/>
        <w:rPr>
          <w:rFonts w:ascii="Times New Roman" w:hAnsi="Times New Roman" w:cs="Times New Roman"/>
        </w:rPr>
      </w:pPr>
      <w:r w:rsidRPr="00047E93">
        <w:rPr>
          <w:rFonts w:ascii="Times New Roman" w:hAnsi="Times New Roman" w:cs="Times New Roman"/>
        </w:rPr>
        <w:t>Percentage of new versus established talent in front of and behind the camera.</w:t>
      </w:r>
    </w:p>
    <w:p w14:paraId="03D55BFD" w14:textId="66BB7DEE" w:rsidR="00047E93" w:rsidRPr="00047E93" w:rsidRDefault="00047E93" w:rsidP="00047E93">
      <w:pPr>
        <w:pStyle w:val="ListParagraph"/>
        <w:numPr>
          <w:ilvl w:val="0"/>
          <w:numId w:val="3"/>
        </w:numPr>
        <w:spacing w:after="80" w:line="480" w:lineRule="auto"/>
        <w:rPr>
          <w:rFonts w:ascii="Times New Roman" w:hAnsi="Times New Roman" w:cs="Times New Roman"/>
        </w:rPr>
      </w:pPr>
      <w:r w:rsidRPr="00047E93">
        <w:rPr>
          <w:rFonts w:ascii="Times New Roman" w:hAnsi="Times New Roman" w:cs="Times New Roman"/>
        </w:rPr>
        <w:t>Language distribution of originals in development and in release, by primary language.</w:t>
      </w:r>
    </w:p>
    <w:p w14:paraId="2B36A618" w14:textId="0E46A71D" w:rsidR="00047E93" w:rsidRPr="00047E93" w:rsidRDefault="00047E93" w:rsidP="00047E93">
      <w:pPr>
        <w:pStyle w:val="ListParagraph"/>
        <w:numPr>
          <w:ilvl w:val="0"/>
          <w:numId w:val="3"/>
        </w:numPr>
        <w:spacing w:after="80" w:line="480" w:lineRule="auto"/>
        <w:rPr>
          <w:rFonts w:ascii="Times New Roman" w:hAnsi="Times New Roman" w:cs="Times New Roman"/>
        </w:rPr>
      </w:pPr>
      <w:r w:rsidRPr="00047E93">
        <w:rPr>
          <w:rFonts w:ascii="Times New Roman" w:hAnsi="Times New Roman" w:cs="Times New Roman"/>
        </w:rPr>
        <w:t>Gender of key roles, including writers, directors, heads of department, and lead on-screen talent.</w:t>
      </w:r>
    </w:p>
    <w:p w14:paraId="6A8EAE7F" w14:textId="4F70FA69" w:rsidR="00047E93" w:rsidRPr="00047E93" w:rsidRDefault="00047E93" w:rsidP="00047E93">
      <w:pPr>
        <w:pStyle w:val="ListParagraph"/>
        <w:numPr>
          <w:ilvl w:val="0"/>
          <w:numId w:val="3"/>
        </w:numPr>
        <w:spacing w:after="80" w:line="480" w:lineRule="auto"/>
        <w:rPr>
          <w:rFonts w:ascii="Times New Roman" w:hAnsi="Times New Roman" w:cs="Times New Roman"/>
        </w:rPr>
      </w:pPr>
      <w:r w:rsidRPr="00047E93">
        <w:rPr>
          <w:rFonts w:ascii="Times New Roman" w:hAnsi="Times New Roman" w:cs="Times New Roman"/>
        </w:rPr>
        <w:t>Regional origin of creators and production teams, at the state or country level.</w:t>
      </w:r>
    </w:p>
    <w:p w14:paraId="7EC93EC9" w14:textId="6BCEF64A" w:rsidR="00047E93" w:rsidRPr="00047E93" w:rsidRDefault="00047E93" w:rsidP="00047E93">
      <w:pPr>
        <w:pStyle w:val="ListParagraph"/>
        <w:numPr>
          <w:ilvl w:val="0"/>
          <w:numId w:val="3"/>
        </w:numPr>
        <w:spacing w:after="80" w:line="480" w:lineRule="auto"/>
        <w:rPr>
          <w:rFonts w:ascii="Times New Roman" w:hAnsi="Times New Roman" w:cs="Times New Roman"/>
        </w:rPr>
      </w:pPr>
      <w:r w:rsidRPr="00047E93">
        <w:rPr>
          <w:rFonts w:ascii="Times New Roman" w:hAnsi="Times New Roman" w:cs="Times New Roman"/>
        </w:rPr>
        <w:t>Genre distribution and budget tier distribution across the pipeline.</w:t>
      </w:r>
    </w:p>
    <w:p w14:paraId="097AA081" w14:textId="77777777" w:rsidR="00047E93" w:rsidRPr="00047E93" w:rsidRDefault="00047E93" w:rsidP="00047E93">
      <w:pPr>
        <w:spacing w:before="80" w:after="100" w:line="480" w:lineRule="auto"/>
        <w:jc w:val="both"/>
        <w:rPr>
          <w:rFonts w:ascii="Times New Roman" w:hAnsi="Times New Roman" w:cs="Times New Roman"/>
          <w:sz w:val="24"/>
          <w:szCs w:val="24"/>
        </w:rPr>
      </w:pPr>
      <w:r w:rsidRPr="00047E93">
        <w:rPr>
          <w:rFonts w:ascii="Times New Roman" w:hAnsi="Times New Roman" w:cs="Times New Roman"/>
          <w:b/>
          <w:bCs/>
          <w:i/>
          <w:iCs/>
          <w:sz w:val="24"/>
          <w:szCs w:val="24"/>
        </w:rPr>
        <w:t xml:space="preserve">What these metrics together show. </w:t>
      </w:r>
      <w:r w:rsidRPr="00047E93">
        <w:rPr>
          <w:rFonts w:ascii="Times New Roman" w:hAnsi="Times New Roman" w:cs="Times New Roman"/>
          <w:sz w:val="24"/>
          <w:szCs w:val="24"/>
        </w:rPr>
        <w:t>Whether the platform is broadening the pool of who gets to make, or whether new talent figures concentrate in a small number of languages, genres, and regions.</w:t>
      </w:r>
    </w:p>
    <w:p w14:paraId="406C3587" w14:textId="77777777" w:rsidR="00047E93" w:rsidRPr="00047E93" w:rsidRDefault="00047E93" w:rsidP="00047E93">
      <w:pPr>
        <w:pStyle w:val="Heading2"/>
        <w:spacing w:line="480" w:lineRule="auto"/>
        <w:rPr>
          <w:rFonts w:ascii="Times New Roman" w:hAnsi="Times New Roman" w:cs="Times New Roman"/>
          <w:sz w:val="24"/>
          <w:szCs w:val="24"/>
        </w:rPr>
      </w:pPr>
      <w:r w:rsidRPr="00047E93">
        <w:rPr>
          <w:rFonts w:ascii="Times New Roman" w:eastAsia="Georgia" w:hAnsi="Times New Roman" w:cs="Times New Roman"/>
          <w:b/>
          <w:bCs/>
          <w:color w:val="1A1A1A"/>
          <w:spacing w:val="30"/>
          <w:sz w:val="24"/>
          <w:szCs w:val="24"/>
        </w:rPr>
        <w:t>PILLAR TWO. SURFACING LAYER</w:t>
      </w:r>
    </w:p>
    <w:p w14:paraId="124E4C85" w14:textId="77777777" w:rsidR="00047E93" w:rsidRPr="00047E93" w:rsidRDefault="00047E93" w:rsidP="00047E93">
      <w:pPr>
        <w:spacing w:after="100" w:line="480" w:lineRule="auto"/>
        <w:jc w:val="both"/>
        <w:rPr>
          <w:rFonts w:ascii="Times New Roman" w:hAnsi="Times New Roman" w:cs="Times New Roman"/>
          <w:sz w:val="24"/>
          <w:szCs w:val="24"/>
        </w:rPr>
      </w:pPr>
      <w:r w:rsidRPr="00047E93">
        <w:rPr>
          <w:rFonts w:ascii="Times New Roman" w:hAnsi="Times New Roman" w:cs="Times New Roman"/>
          <w:sz w:val="24"/>
          <w:szCs w:val="24"/>
        </w:rPr>
        <w:t>What the recommendation infrastructure actually pushes, which is not the same as what is in the catalogue.</w:t>
      </w:r>
    </w:p>
    <w:p w14:paraId="60DA40F0" w14:textId="38C5A465" w:rsidR="00047E93" w:rsidRPr="00047E93" w:rsidRDefault="00047E93" w:rsidP="00047E93">
      <w:pPr>
        <w:spacing w:before="80" w:after="80" w:line="480" w:lineRule="auto"/>
        <w:rPr>
          <w:rFonts w:ascii="Times New Roman" w:hAnsi="Times New Roman" w:cs="Times New Roman"/>
          <w:sz w:val="24"/>
          <w:szCs w:val="24"/>
        </w:rPr>
      </w:pPr>
      <w:r w:rsidRPr="00047E93">
        <w:rPr>
          <w:rFonts w:ascii="Times New Roman" w:hAnsi="Times New Roman" w:cs="Times New Roman"/>
          <w:b/>
          <w:bCs/>
          <w:i/>
          <w:iCs/>
          <w:sz w:val="24"/>
          <w:szCs w:val="24"/>
        </w:rPr>
        <w:lastRenderedPageBreak/>
        <w:t>Metrics to report annually</w:t>
      </w:r>
      <w:r>
        <w:rPr>
          <w:rFonts w:ascii="Times New Roman" w:hAnsi="Times New Roman" w:cs="Times New Roman"/>
          <w:b/>
          <w:bCs/>
          <w:i/>
          <w:iCs/>
          <w:sz w:val="24"/>
          <w:szCs w:val="24"/>
        </w:rPr>
        <w:t>:</w:t>
      </w:r>
    </w:p>
    <w:p w14:paraId="2FFA20FD" w14:textId="0D85BB32" w:rsidR="00047E93" w:rsidRPr="00047E93" w:rsidRDefault="00047E93" w:rsidP="00047E93">
      <w:pPr>
        <w:pStyle w:val="ListParagraph"/>
        <w:numPr>
          <w:ilvl w:val="0"/>
          <w:numId w:val="6"/>
        </w:numPr>
        <w:spacing w:after="80" w:line="480" w:lineRule="auto"/>
        <w:rPr>
          <w:rFonts w:ascii="Times New Roman" w:hAnsi="Times New Roman" w:cs="Times New Roman"/>
        </w:rPr>
      </w:pPr>
      <w:r w:rsidRPr="00047E93">
        <w:rPr>
          <w:rFonts w:ascii="Times New Roman" w:hAnsi="Times New Roman" w:cs="Times New Roman"/>
        </w:rPr>
        <w:t>Share of total surfacing impressions allocated to titles in each primary language.</w:t>
      </w:r>
    </w:p>
    <w:p w14:paraId="29D04FAC" w14:textId="2AC6BA35" w:rsidR="00047E93" w:rsidRPr="00047E93" w:rsidRDefault="00047E93" w:rsidP="00047E93">
      <w:pPr>
        <w:pStyle w:val="ListParagraph"/>
        <w:numPr>
          <w:ilvl w:val="0"/>
          <w:numId w:val="6"/>
        </w:numPr>
        <w:spacing w:after="80" w:line="480" w:lineRule="auto"/>
        <w:rPr>
          <w:rFonts w:ascii="Times New Roman" w:hAnsi="Times New Roman" w:cs="Times New Roman"/>
        </w:rPr>
      </w:pPr>
      <w:r w:rsidRPr="00047E93">
        <w:rPr>
          <w:rFonts w:ascii="Times New Roman" w:hAnsi="Times New Roman" w:cs="Times New Roman"/>
        </w:rPr>
        <w:t>Share of cross-language surfacing, where viewers in one language base are recommended titles in another.</w:t>
      </w:r>
    </w:p>
    <w:p w14:paraId="378D3115" w14:textId="129945DB" w:rsidR="00047E93" w:rsidRPr="00047E93" w:rsidRDefault="00047E93" w:rsidP="00047E93">
      <w:pPr>
        <w:pStyle w:val="ListParagraph"/>
        <w:numPr>
          <w:ilvl w:val="0"/>
          <w:numId w:val="6"/>
        </w:numPr>
        <w:spacing w:after="80" w:line="480" w:lineRule="auto"/>
        <w:rPr>
          <w:rFonts w:ascii="Times New Roman" w:hAnsi="Times New Roman" w:cs="Times New Roman"/>
        </w:rPr>
      </w:pPr>
      <w:r w:rsidRPr="00047E93">
        <w:rPr>
          <w:rFonts w:ascii="Times New Roman" w:hAnsi="Times New Roman" w:cs="Times New Roman"/>
        </w:rPr>
        <w:t>Concentration ratio of the top one hundred most-surfaced titles versus the long tail.</w:t>
      </w:r>
    </w:p>
    <w:p w14:paraId="3EA0C3ED" w14:textId="1FD9B0C0" w:rsidR="00047E93" w:rsidRPr="00047E93" w:rsidRDefault="00047E93" w:rsidP="00047E93">
      <w:pPr>
        <w:pStyle w:val="ListParagraph"/>
        <w:numPr>
          <w:ilvl w:val="0"/>
          <w:numId w:val="6"/>
        </w:numPr>
        <w:spacing w:after="80" w:line="480" w:lineRule="auto"/>
        <w:rPr>
          <w:rFonts w:ascii="Times New Roman" w:hAnsi="Times New Roman" w:cs="Times New Roman"/>
        </w:rPr>
      </w:pPr>
      <w:r w:rsidRPr="00047E93">
        <w:rPr>
          <w:rFonts w:ascii="Times New Roman" w:hAnsi="Times New Roman" w:cs="Times New Roman"/>
        </w:rPr>
        <w:t>Geographic distribution of surfacing for originals, by country of origin and country of viewer.</w:t>
      </w:r>
    </w:p>
    <w:p w14:paraId="38893802" w14:textId="527F31DA" w:rsidR="00047E93" w:rsidRPr="00047E93" w:rsidRDefault="00047E93" w:rsidP="00047E93">
      <w:pPr>
        <w:pStyle w:val="ListParagraph"/>
        <w:numPr>
          <w:ilvl w:val="0"/>
          <w:numId w:val="6"/>
        </w:numPr>
        <w:spacing w:after="80" w:line="480" w:lineRule="auto"/>
        <w:rPr>
          <w:rFonts w:ascii="Times New Roman" w:hAnsi="Times New Roman" w:cs="Times New Roman"/>
        </w:rPr>
      </w:pPr>
      <w:r w:rsidRPr="00047E93">
        <w:rPr>
          <w:rFonts w:ascii="Times New Roman" w:hAnsi="Times New Roman" w:cs="Times New Roman"/>
        </w:rPr>
        <w:t>Year-over-year change in surfacing share for originals from underrepresented languages and regions.</w:t>
      </w:r>
    </w:p>
    <w:p w14:paraId="03368790" w14:textId="77777777" w:rsidR="00047E93" w:rsidRPr="00047E93" w:rsidRDefault="00047E93" w:rsidP="00047E93">
      <w:pPr>
        <w:spacing w:before="80" w:after="100" w:line="480" w:lineRule="auto"/>
        <w:jc w:val="both"/>
        <w:rPr>
          <w:rFonts w:ascii="Times New Roman" w:hAnsi="Times New Roman" w:cs="Times New Roman"/>
          <w:sz w:val="24"/>
          <w:szCs w:val="24"/>
        </w:rPr>
      </w:pPr>
      <w:r w:rsidRPr="00047E93">
        <w:rPr>
          <w:rFonts w:ascii="Times New Roman" w:hAnsi="Times New Roman" w:cs="Times New Roman"/>
          <w:b/>
          <w:bCs/>
          <w:i/>
          <w:iCs/>
          <w:sz w:val="24"/>
          <w:szCs w:val="24"/>
        </w:rPr>
        <w:t xml:space="preserve">What these metrics together show. </w:t>
      </w:r>
      <w:r w:rsidRPr="00047E93">
        <w:rPr>
          <w:rFonts w:ascii="Times New Roman" w:hAnsi="Times New Roman" w:cs="Times New Roman"/>
          <w:sz w:val="24"/>
          <w:szCs w:val="24"/>
        </w:rPr>
        <w:t>Whether the platform’s recommendation infrastructure is distributing the catalogue or amplifying a concentrated subset of it.</w:t>
      </w:r>
    </w:p>
    <w:p w14:paraId="5DFB42D4" w14:textId="77777777" w:rsidR="00047E93" w:rsidRPr="00047E93" w:rsidRDefault="00047E93" w:rsidP="00047E93">
      <w:pPr>
        <w:pStyle w:val="Heading2"/>
        <w:spacing w:line="480" w:lineRule="auto"/>
        <w:rPr>
          <w:rFonts w:ascii="Times New Roman" w:hAnsi="Times New Roman" w:cs="Times New Roman"/>
          <w:sz w:val="24"/>
          <w:szCs w:val="24"/>
        </w:rPr>
      </w:pPr>
      <w:r w:rsidRPr="00047E93">
        <w:rPr>
          <w:rFonts w:ascii="Times New Roman" w:eastAsia="Georgia" w:hAnsi="Times New Roman" w:cs="Times New Roman"/>
          <w:b/>
          <w:bCs/>
          <w:color w:val="1A1A1A"/>
          <w:spacing w:val="30"/>
          <w:sz w:val="24"/>
          <w:szCs w:val="24"/>
        </w:rPr>
        <w:t>PILLAR THREE. CREATOR ECONOMICS</w:t>
      </w:r>
    </w:p>
    <w:p w14:paraId="0B3F9C9B" w14:textId="77777777" w:rsidR="00047E93" w:rsidRPr="00047E93" w:rsidRDefault="00047E93" w:rsidP="00047E93">
      <w:pPr>
        <w:spacing w:after="100" w:line="480" w:lineRule="auto"/>
        <w:jc w:val="both"/>
        <w:rPr>
          <w:rFonts w:ascii="Times New Roman" w:hAnsi="Times New Roman" w:cs="Times New Roman"/>
          <w:sz w:val="24"/>
          <w:szCs w:val="24"/>
        </w:rPr>
      </w:pPr>
      <w:r w:rsidRPr="00047E93">
        <w:rPr>
          <w:rFonts w:ascii="Times New Roman" w:hAnsi="Times New Roman" w:cs="Times New Roman"/>
          <w:sz w:val="24"/>
          <w:szCs w:val="24"/>
        </w:rPr>
        <w:t>How licensing, renewal, and distribution decisions are made, disclosed at minimum to creator representatives and unions.</w:t>
      </w:r>
    </w:p>
    <w:p w14:paraId="2267ABC5" w14:textId="4E704443" w:rsidR="00047E93" w:rsidRPr="00047E93" w:rsidRDefault="00047E93" w:rsidP="00047E93">
      <w:pPr>
        <w:spacing w:before="80" w:after="80" w:line="480" w:lineRule="auto"/>
        <w:rPr>
          <w:rFonts w:ascii="Times New Roman" w:hAnsi="Times New Roman" w:cs="Times New Roman"/>
          <w:sz w:val="24"/>
          <w:szCs w:val="24"/>
        </w:rPr>
      </w:pPr>
      <w:r w:rsidRPr="00047E93">
        <w:rPr>
          <w:rFonts w:ascii="Times New Roman" w:hAnsi="Times New Roman" w:cs="Times New Roman"/>
          <w:b/>
          <w:bCs/>
          <w:i/>
          <w:iCs/>
          <w:sz w:val="24"/>
          <w:szCs w:val="24"/>
        </w:rPr>
        <w:t>Metrics to report annuall</w:t>
      </w:r>
      <w:r>
        <w:rPr>
          <w:rFonts w:ascii="Times New Roman" w:hAnsi="Times New Roman" w:cs="Times New Roman"/>
          <w:b/>
          <w:bCs/>
          <w:i/>
          <w:iCs/>
          <w:sz w:val="24"/>
          <w:szCs w:val="24"/>
        </w:rPr>
        <w:t>y:</w:t>
      </w:r>
    </w:p>
    <w:p w14:paraId="7E3566A6" w14:textId="106B6240" w:rsidR="00047E93" w:rsidRPr="00047E93" w:rsidRDefault="00047E93" w:rsidP="00047E93">
      <w:pPr>
        <w:pStyle w:val="ListParagraph"/>
        <w:numPr>
          <w:ilvl w:val="0"/>
          <w:numId w:val="9"/>
        </w:numPr>
        <w:spacing w:after="80" w:line="480" w:lineRule="auto"/>
        <w:rPr>
          <w:rFonts w:ascii="Times New Roman" w:hAnsi="Times New Roman" w:cs="Times New Roman"/>
        </w:rPr>
      </w:pPr>
      <w:r w:rsidRPr="00047E93">
        <w:rPr>
          <w:rFonts w:ascii="Times New Roman" w:hAnsi="Times New Roman" w:cs="Times New Roman"/>
        </w:rPr>
        <w:t>Median and range of licensing fees by genre, language, and budget tier.</w:t>
      </w:r>
    </w:p>
    <w:p w14:paraId="61AFF673" w14:textId="3EF68CAD" w:rsidR="00047E93" w:rsidRPr="00047E93" w:rsidRDefault="00047E93" w:rsidP="00047E93">
      <w:pPr>
        <w:pStyle w:val="ListParagraph"/>
        <w:numPr>
          <w:ilvl w:val="0"/>
          <w:numId w:val="9"/>
        </w:numPr>
        <w:spacing w:after="80" w:line="480" w:lineRule="auto"/>
        <w:rPr>
          <w:rFonts w:ascii="Times New Roman" w:hAnsi="Times New Roman" w:cs="Times New Roman"/>
        </w:rPr>
      </w:pPr>
      <w:r w:rsidRPr="00047E93">
        <w:rPr>
          <w:rFonts w:ascii="Times New Roman" w:hAnsi="Times New Roman" w:cs="Times New Roman"/>
        </w:rPr>
        <w:t>Renewal rate by language and by region of origin.</w:t>
      </w:r>
    </w:p>
    <w:p w14:paraId="368E7544" w14:textId="4439789F" w:rsidR="00047E93" w:rsidRPr="00047E93" w:rsidRDefault="00047E93" w:rsidP="00047E93">
      <w:pPr>
        <w:pStyle w:val="ListParagraph"/>
        <w:numPr>
          <w:ilvl w:val="0"/>
          <w:numId w:val="9"/>
        </w:numPr>
        <w:spacing w:after="80" w:line="480" w:lineRule="auto"/>
        <w:rPr>
          <w:rFonts w:ascii="Times New Roman" w:hAnsi="Times New Roman" w:cs="Times New Roman"/>
        </w:rPr>
      </w:pPr>
      <w:r w:rsidRPr="00047E93">
        <w:rPr>
          <w:rFonts w:ascii="Times New Roman" w:hAnsi="Times New Roman" w:cs="Times New Roman"/>
        </w:rPr>
        <w:t>Average time from delivery to global distribution, disaggregated by language.</w:t>
      </w:r>
    </w:p>
    <w:p w14:paraId="1235833A" w14:textId="78D4BCC0" w:rsidR="00047E93" w:rsidRPr="00047E93" w:rsidRDefault="00047E93" w:rsidP="00047E93">
      <w:pPr>
        <w:pStyle w:val="ListParagraph"/>
        <w:numPr>
          <w:ilvl w:val="0"/>
          <w:numId w:val="9"/>
        </w:numPr>
        <w:spacing w:after="80" w:line="480" w:lineRule="auto"/>
        <w:rPr>
          <w:rFonts w:ascii="Times New Roman" w:hAnsi="Times New Roman" w:cs="Times New Roman"/>
        </w:rPr>
      </w:pPr>
      <w:r w:rsidRPr="00047E93">
        <w:rPr>
          <w:rFonts w:ascii="Times New Roman" w:hAnsi="Times New Roman" w:cs="Times New Roman"/>
        </w:rPr>
        <w:t>Inputs and weights used in the data model that informs renewal decisions, including watch share, completion rate, geographic spread, and editorial assessment.</w:t>
      </w:r>
    </w:p>
    <w:p w14:paraId="29F81386" w14:textId="238E0C77" w:rsidR="00047E93" w:rsidRPr="00047E93" w:rsidRDefault="00047E93" w:rsidP="00047E93">
      <w:pPr>
        <w:pStyle w:val="ListParagraph"/>
        <w:numPr>
          <w:ilvl w:val="0"/>
          <w:numId w:val="9"/>
        </w:numPr>
        <w:spacing w:after="80" w:line="480" w:lineRule="auto"/>
        <w:rPr>
          <w:rFonts w:ascii="Times New Roman" w:hAnsi="Times New Roman" w:cs="Times New Roman"/>
        </w:rPr>
      </w:pPr>
      <w:r w:rsidRPr="00047E93">
        <w:rPr>
          <w:rFonts w:ascii="Times New Roman" w:hAnsi="Times New Roman" w:cs="Times New Roman"/>
        </w:rPr>
        <w:t>Annual updates to the model, including any changes in input weighting.</w:t>
      </w:r>
    </w:p>
    <w:p w14:paraId="2D11D226" w14:textId="77777777" w:rsidR="00047E93" w:rsidRPr="00047E93" w:rsidRDefault="00047E93" w:rsidP="00047E93">
      <w:pPr>
        <w:spacing w:before="80" w:after="100" w:line="480" w:lineRule="auto"/>
        <w:jc w:val="both"/>
        <w:rPr>
          <w:rFonts w:ascii="Times New Roman" w:hAnsi="Times New Roman" w:cs="Times New Roman"/>
          <w:sz w:val="24"/>
          <w:szCs w:val="24"/>
        </w:rPr>
      </w:pPr>
      <w:r w:rsidRPr="00047E93">
        <w:rPr>
          <w:rFonts w:ascii="Times New Roman" w:hAnsi="Times New Roman" w:cs="Times New Roman"/>
          <w:b/>
          <w:bCs/>
          <w:i/>
          <w:iCs/>
          <w:sz w:val="24"/>
          <w:szCs w:val="24"/>
        </w:rPr>
        <w:t xml:space="preserve">What these metrics together show. </w:t>
      </w:r>
      <w:r w:rsidRPr="00047E93">
        <w:rPr>
          <w:rFonts w:ascii="Times New Roman" w:hAnsi="Times New Roman" w:cs="Times New Roman"/>
          <w:sz w:val="24"/>
          <w:szCs w:val="24"/>
        </w:rPr>
        <w:t>Whether creators across languages and regions are operating in the same economic system or in systematically different ones.</w:t>
      </w:r>
    </w:p>
    <w:p w14:paraId="1FB7C6CF" w14:textId="77777777" w:rsidR="00047E93" w:rsidRPr="00047E93" w:rsidRDefault="00047E93" w:rsidP="00047E93">
      <w:pPr>
        <w:pStyle w:val="Heading2"/>
        <w:spacing w:line="480" w:lineRule="auto"/>
        <w:rPr>
          <w:rFonts w:ascii="Times New Roman" w:hAnsi="Times New Roman" w:cs="Times New Roman"/>
          <w:sz w:val="24"/>
          <w:szCs w:val="24"/>
        </w:rPr>
      </w:pPr>
      <w:r w:rsidRPr="00047E93">
        <w:rPr>
          <w:rFonts w:ascii="Times New Roman" w:eastAsia="Georgia" w:hAnsi="Times New Roman" w:cs="Times New Roman"/>
          <w:b/>
          <w:bCs/>
          <w:color w:val="1A1A1A"/>
          <w:spacing w:val="30"/>
          <w:sz w:val="24"/>
          <w:szCs w:val="24"/>
        </w:rPr>
        <w:lastRenderedPageBreak/>
        <w:t>PILLAR FOUR. VIEWER AGENCY</w:t>
      </w:r>
    </w:p>
    <w:p w14:paraId="6852C638" w14:textId="77777777" w:rsidR="00047E93" w:rsidRPr="00047E93" w:rsidRDefault="00047E93" w:rsidP="00047E93">
      <w:pPr>
        <w:spacing w:after="100" w:line="480" w:lineRule="auto"/>
        <w:jc w:val="both"/>
        <w:rPr>
          <w:rFonts w:ascii="Times New Roman" w:hAnsi="Times New Roman" w:cs="Times New Roman"/>
          <w:sz w:val="24"/>
          <w:szCs w:val="24"/>
        </w:rPr>
      </w:pPr>
      <w:r w:rsidRPr="00047E93">
        <w:rPr>
          <w:rFonts w:ascii="Times New Roman" w:hAnsi="Times New Roman" w:cs="Times New Roman"/>
          <w:sz w:val="24"/>
          <w:szCs w:val="24"/>
        </w:rPr>
        <w:t>What the platform offers viewers for understanding and correcting the recommendation model’s read of their preferences.</w:t>
      </w:r>
    </w:p>
    <w:p w14:paraId="4A8B3613" w14:textId="77777777" w:rsidR="00047E93" w:rsidRPr="00047E93" w:rsidRDefault="00047E93" w:rsidP="00047E93">
      <w:pPr>
        <w:spacing w:before="80" w:after="80" w:line="480" w:lineRule="auto"/>
        <w:rPr>
          <w:rFonts w:ascii="Times New Roman" w:hAnsi="Times New Roman" w:cs="Times New Roman"/>
          <w:sz w:val="24"/>
          <w:szCs w:val="24"/>
        </w:rPr>
      </w:pPr>
      <w:r w:rsidRPr="00047E93">
        <w:rPr>
          <w:rFonts w:ascii="Times New Roman" w:hAnsi="Times New Roman" w:cs="Times New Roman"/>
          <w:b/>
          <w:bCs/>
          <w:i/>
          <w:iCs/>
          <w:sz w:val="24"/>
          <w:szCs w:val="24"/>
        </w:rPr>
        <w:t>Metrics to report annually.</w:t>
      </w:r>
    </w:p>
    <w:p w14:paraId="59A647AC" w14:textId="4F22B8D6" w:rsidR="00047E93" w:rsidRPr="00047E93" w:rsidRDefault="00047E93" w:rsidP="00047E93">
      <w:pPr>
        <w:pStyle w:val="ListParagraph"/>
        <w:numPr>
          <w:ilvl w:val="0"/>
          <w:numId w:val="12"/>
        </w:numPr>
        <w:spacing w:after="80" w:line="480" w:lineRule="auto"/>
        <w:rPr>
          <w:rFonts w:ascii="Times New Roman" w:hAnsi="Times New Roman" w:cs="Times New Roman"/>
        </w:rPr>
      </w:pPr>
      <w:r w:rsidRPr="00047E93">
        <w:rPr>
          <w:rFonts w:ascii="Times New Roman" w:hAnsi="Times New Roman" w:cs="Times New Roman"/>
        </w:rPr>
        <w:t>Whether viewers can see a simplified summary of what the recommendation engine has inferred about their tastes.</w:t>
      </w:r>
    </w:p>
    <w:p w14:paraId="5B188A58" w14:textId="45E1CBDD" w:rsidR="00047E93" w:rsidRPr="00047E93" w:rsidRDefault="00047E93" w:rsidP="00047E93">
      <w:pPr>
        <w:pStyle w:val="ListParagraph"/>
        <w:numPr>
          <w:ilvl w:val="0"/>
          <w:numId w:val="12"/>
        </w:numPr>
        <w:spacing w:after="80" w:line="480" w:lineRule="auto"/>
        <w:rPr>
          <w:rFonts w:ascii="Times New Roman" w:hAnsi="Times New Roman" w:cs="Times New Roman"/>
        </w:rPr>
      </w:pPr>
      <w:r w:rsidRPr="00047E93">
        <w:rPr>
          <w:rFonts w:ascii="Times New Roman" w:hAnsi="Times New Roman" w:cs="Times New Roman"/>
        </w:rPr>
        <w:t>Whether viewers can explicitly add or remove inferred preferences, beyond signalling through watch behaviour.</w:t>
      </w:r>
    </w:p>
    <w:p w14:paraId="57802B48" w14:textId="129609AE" w:rsidR="00047E93" w:rsidRPr="00047E93" w:rsidRDefault="00047E93" w:rsidP="00047E93">
      <w:pPr>
        <w:pStyle w:val="ListParagraph"/>
        <w:numPr>
          <w:ilvl w:val="0"/>
          <w:numId w:val="12"/>
        </w:numPr>
        <w:spacing w:after="80" w:line="480" w:lineRule="auto"/>
        <w:rPr>
          <w:rFonts w:ascii="Times New Roman" w:hAnsi="Times New Roman" w:cs="Times New Roman"/>
        </w:rPr>
      </w:pPr>
      <w:r w:rsidRPr="00047E93">
        <w:rPr>
          <w:rFonts w:ascii="Times New Roman" w:hAnsi="Times New Roman" w:cs="Times New Roman"/>
        </w:rPr>
        <w:t>Adoption rate of any such preference-management feature across the user base.</w:t>
      </w:r>
    </w:p>
    <w:p w14:paraId="6B0956C6" w14:textId="1B1EEA2C" w:rsidR="00047E93" w:rsidRPr="00047E93" w:rsidRDefault="00047E93" w:rsidP="00047E93">
      <w:pPr>
        <w:pStyle w:val="ListParagraph"/>
        <w:numPr>
          <w:ilvl w:val="0"/>
          <w:numId w:val="12"/>
        </w:numPr>
        <w:spacing w:after="80" w:line="480" w:lineRule="auto"/>
        <w:rPr>
          <w:rFonts w:ascii="Times New Roman" w:hAnsi="Times New Roman" w:cs="Times New Roman"/>
        </w:rPr>
      </w:pPr>
      <w:r w:rsidRPr="00047E93">
        <w:rPr>
          <w:rFonts w:ascii="Times New Roman" w:hAnsi="Times New Roman" w:cs="Times New Roman"/>
        </w:rPr>
        <w:t>Whether viewers can opt to receive a recommendation feed weighted toward languages or regions outside their default base.</w:t>
      </w:r>
    </w:p>
    <w:p w14:paraId="6052E02A" w14:textId="3D5E908A" w:rsidR="00047E93" w:rsidRPr="00047E93" w:rsidRDefault="00047E93" w:rsidP="00047E93">
      <w:pPr>
        <w:pStyle w:val="ListParagraph"/>
        <w:numPr>
          <w:ilvl w:val="0"/>
          <w:numId w:val="12"/>
        </w:numPr>
        <w:spacing w:after="80" w:line="480" w:lineRule="auto"/>
        <w:rPr>
          <w:rFonts w:ascii="Times New Roman" w:hAnsi="Times New Roman" w:cs="Times New Roman"/>
        </w:rPr>
      </w:pPr>
      <w:r w:rsidRPr="00047E93">
        <w:rPr>
          <w:rFonts w:ascii="Times New Roman" w:hAnsi="Times New Roman" w:cs="Times New Roman"/>
        </w:rPr>
        <w:t>Adoption rate of any such cross-base discovery feature.</w:t>
      </w:r>
    </w:p>
    <w:p w14:paraId="666E9D39" w14:textId="77777777" w:rsidR="00047E93" w:rsidRPr="00047E93" w:rsidRDefault="00047E93" w:rsidP="00047E93">
      <w:pPr>
        <w:spacing w:before="80" w:after="100" w:line="480" w:lineRule="auto"/>
        <w:jc w:val="both"/>
        <w:rPr>
          <w:rFonts w:ascii="Times New Roman" w:hAnsi="Times New Roman" w:cs="Times New Roman"/>
          <w:sz w:val="24"/>
          <w:szCs w:val="24"/>
        </w:rPr>
      </w:pPr>
      <w:r w:rsidRPr="00047E93">
        <w:rPr>
          <w:rFonts w:ascii="Times New Roman" w:hAnsi="Times New Roman" w:cs="Times New Roman"/>
          <w:b/>
          <w:bCs/>
          <w:i/>
          <w:iCs/>
          <w:sz w:val="24"/>
          <w:szCs w:val="24"/>
        </w:rPr>
        <w:t xml:space="preserve">What these metrics together show. </w:t>
      </w:r>
      <w:r w:rsidRPr="00047E93">
        <w:rPr>
          <w:rFonts w:ascii="Times New Roman" w:hAnsi="Times New Roman" w:cs="Times New Roman"/>
          <w:sz w:val="24"/>
          <w:szCs w:val="24"/>
        </w:rPr>
        <w:t>Whether the viewer described as the most powerful person in the relationship has tools that make that power operationally real.</w:t>
      </w:r>
    </w:p>
    <w:p w14:paraId="3C92781D" w14:textId="77777777" w:rsidR="00047E93" w:rsidRPr="00047E93" w:rsidRDefault="00047E93" w:rsidP="00047E93">
      <w:pPr>
        <w:pStyle w:val="Heading2"/>
        <w:spacing w:line="480" w:lineRule="auto"/>
        <w:rPr>
          <w:rFonts w:ascii="Times New Roman" w:hAnsi="Times New Roman" w:cs="Times New Roman"/>
          <w:sz w:val="24"/>
          <w:szCs w:val="24"/>
        </w:rPr>
      </w:pPr>
      <w:r w:rsidRPr="00047E93">
        <w:rPr>
          <w:rFonts w:ascii="Times New Roman" w:eastAsia="Georgia" w:hAnsi="Times New Roman" w:cs="Times New Roman"/>
          <w:b/>
          <w:bCs/>
          <w:color w:val="1A1A1A"/>
          <w:spacing w:val="30"/>
          <w:sz w:val="24"/>
          <w:szCs w:val="24"/>
        </w:rPr>
        <w:t>A NOTE ON COMPARABILITY</w:t>
      </w:r>
    </w:p>
    <w:p w14:paraId="5A16B34C" w14:textId="77777777" w:rsidR="00047E93" w:rsidRPr="00047E93" w:rsidRDefault="00047E93" w:rsidP="00047E93">
      <w:pPr>
        <w:spacing w:after="140" w:line="480" w:lineRule="auto"/>
        <w:jc w:val="both"/>
        <w:rPr>
          <w:rFonts w:ascii="Times New Roman" w:hAnsi="Times New Roman" w:cs="Times New Roman"/>
          <w:sz w:val="24"/>
          <w:szCs w:val="24"/>
        </w:rPr>
      </w:pPr>
      <w:r w:rsidRPr="00047E93">
        <w:rPr>
          <w:rFonts w:ascii="Times New Roman" w:hAnsi="Times New Roman" w:cs="Times New Roman"/>
          <w:sz w:val="24"/>
          <w:szCs w:val="24"/>
        </w:rPr>
        <w:t>The template’s structure is the same across platforms. Where a platform reports differently from the categories proposed here, the report should state the difference and the reason. Comparability across years and across platforms is the property the template is designed to enable. Selective disclosure, however well-intentioned, undermines that property.</w:t>
      </w:r>
    </w:p>
    <w:p w14:paraId="33E93E61" w14:textId="77777777" w:rsidR="00047E93" w:rsidRPr="00047E93" w:rsidRDefault="00047E93" w:rsidP="00047E93">
      <w:pPr>
        <w:pStyle w:val="Heading2"/>
        <w:spacing w:line="480" w:lineRule="auto"/>
        <w:rPr>
          <w:rFonts w:ascii="Times New Roman" w:hAnsi="Times New Roman" w:cs="Times New Roman"/>
          <w:sz w:val="24"/>
          <w:szCs w:val="24"/>
        </w:rPr>
      </w:pPr>
      <w:r w:rsidRPr="00047E93">
        <w:rPr>
          <w:rFonts w:ascii="Times New Roman" w:eastAsia="Georgia" w:hAnsi="Times New Roman" w:cs="Times New Roman"/>
          <w:b/>
          <w:bCs/>
          <w:color w:val="1A1A1A"/>
          <w:spacing w:val="30"/>
          <w:sz w:val="24"/>
          <w:szCs w:val="24"/>
        </w:rPr>
        <w:t>WHAT THIS TEMPLATE IS NOT</w:t>
      </w:r>
    </w:p>
    <w:p w14:paraId="160AEBED" w14:textId="14D9B752" w:rsidR="00047E93" w:rsidRPr="00047E93" w:rsidRDefault="00047E93" w:rsidP="00047E93">
      <w:pPr>
        <w:spacing w:after="140" w:line="480" w:lineRule="auto"/>
        <w:jc w:val="both"/>
        <w:rPr>
          <w:rFonts w:ascii="Times New Roman" w:hAnsi="Times New Roman" w:cs="Times New Roman"/>
          <w:sz w:val="24"/>
          <w:szCs w:val="24"/>
        </w:rPr>
      </w:pPr>
      <w:r w:rsidRPr="00047E93">
        <w:rPr>
          <w:rFonts w:ascii="Times New Roman" w:hAnsi="Times New Roman" w:cs="Times New Roman"/>
          <w:sz w:val="24"/>
          <w:szCs w:val="24"/>
        </w:rPr>
        <w:t xml:space="preserve">This template does not measure whether a platform’s content is good, profitable, or culturally valuable. It measures whether the platform’s production pipeline, surfacing infrastructure, creator economics, and viewer-facing controls are distributed in ways that can be examined from outside. A platform whose </w:t>
      </w:r>
      <w:r w:rsidRPr="00047E93">
        <w:rPr>
          <w:rFonts w:ascii="Times New Roman" w:hAnsi="Times New Roman" w:cs="Times New Roman"/>
          <w:sz w:val="24"/>
          <w:szCs w:val="24"/>
        </w:rPr>
        <w:lastRenderedPageBreak/>
        <w:t>annual report fills this template thoroughly has accepted accountability through transparency. A platform that publishes selectively against this template has chosen another pos</w:t>
      </w:r>
      <w:r>
        <w:rPr>
          <w:rFonts w:ascii="Times New Roman" w:hAnsi="Times New Roman" w:cs="Times New Roman"/>
          <w:sz w:val="24"/>
          <w:szCs w:val="24"/>
        </w:rPr>
        <w:t>ition</w:t>
      </w:r>
      <w:r w:rsidRPr="00047E93">
        <w:rPr>
          <w:rFonts w:ascii="Times New Roman" w:hAnsi="Times New Roman" w:cs="Times New Roman"/>
          <w:sz w:val="24"/>
          <w:szCs w:val="24"/>
        </w:rPr>
        <w:t>, and the choice itself becomes a reportable fact.</w:t>
      </w:r>
    </w:p>
    <w:p w14:paraId="50C81317" w14:textId="77777777" w:rsidR="00A55B13" w:rsidRPr="00047E93" w:rsidRDefault="00A55B13" w:rsidP="00047E93">
      <w:pPr>
        <w:spacing w:line="480" w:lineRule="auto"/>
        <w:rPr>
          <w:rFonts w:ascii="Times New Roman" w:hAnsi="Times New Roman" w:cs="Times New Roman"/>
          <w:sz w:val="24"/>
          <w:szCs w:val="24"/>
        </w:rPr>
      </w:pPr>
    </w:p>
    <w:sectPr w:rsidR="00A55B13" w:rsidRPr="00047E93" w:rsidSect="00047E93">
      <w:headerReference w:type="even" r:id="rId7"/>
      <w:head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9C174" w14:textId="77777777" w:rsidR="00D71E29" w:rsidRDefault="00D71E29" w:rsidP="00047E93">
      <w:r>
        <w:separator/>
      </w:r>
    </w:p>
  </w:endnote>
  <w:endnote w:type="continuationSeparator" w:id="0">
    <w:p w14:paraId="3DF67ED2" w14:textId="77777777" w:rsidR="00D71E29" w:rsidRDefault="00D71E29" w:rsidP="00047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6B5B9" w14:textId="77777777" w:rsidR="00D71E29" w:rsidRDefault="00D71E29" w:rsidP="00047E93">
      <w:r>
        <w:separator/>
      </w:r>
    </w:p>
  </w:footnote>
  <w:footnote w:type="continuationSeparator" w:id="0">
    <w:p w14:paraId="6DFDC9DC" w14:textId="77777777" w:rsidR="00D71E29" w:rsidRDefault="00D71E29" w:rsidP="00047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5541452"/>
      <w:docPartObj>
        <w:docPartGallery w:val="Page Numbers (Top of Page)"/>
        <w:docPartUnique/>
      </w:docPartObj>
    </w:sdtPr>
    <w:sdtContent>
      <w:p w14:paraId="54EBA30D" w14:textId="643B5070" w:rsidR="00047E93" w:rsidRDefault="00047E93" w:rsidP="009B6E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57B3AA" w14:textId="77777777" w:rsidR="00047E93" w:rsidRDefault="00047E93" w:rsidP="00047E9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850372674"/>
      <w:docPartObj>
        <w:docPartGallery w:val="Page Numbers (Top of Page)"/>
        <w:docPartUnique/>
      </w:docPartObj>
    </w:sdtPr>
    <w:sdtContent>
      <w:p w14:paraId="6AC92BF1" w14:textId="392B104B" w:rsidR="00047E93" w:rsidRPr="00047E93" w:rsidRDefault="00047E93" w:rsidP="009B6E88">
        <w:pPr>
          <w:pStyle w:val="Header"/>
          <w:framePr w:wrap="none" w:vAnchor="text" w:hAnchor="margin" w:xAlign="right" w:y="1"/>
          <w:rPr>
            <w:rStyle w:val="PageNumber"/>
            <w:rFonts w:ascii="Times New Roman" w:hAnsi="Times New Roman" w:cs="Times New Roman"/>
          </w:rPr>
        </w:pPr>
        <w:r w:rsidRPr="00047E93">
          <w:rPr>
            <w:rStyle w:val="PageNumber"/>
            <w:rFonts w:ascii="Times New Roman" w:hAnsi="Times New Roman" w:cs="Times New Roman"/>
          </w:rPr>
          <w:fldChar w:fldCharType="begin"/>
        </w:r>
        <w:r w:rsidRPr="00047E93">
          <w:rPr>
            <w:rStyle w:val="PageNumber"/>
            <w:rFonts w:ascii="Times New Roman" w:hAnsi="Times New Roman" w:cs="Times New Roman"/>
          </w:rPr>
          <w:instrText xml:space="preserve"> PAGE </w:instrText>
        </w:r>
        <w:r w:rsidRPr="00047E93">
          <w:rPr>
            <w:rStyle w:val="PageNumber"/>
            <w:rFonts w:ascii="Times New Roman" w:hAnsi="Times New Roman" w:cs="Times New Roman"/>
          </w:rPr>
          <w:fldChar w:fldCharType="separate"/>
        </w:r>
        <w:r w:rsidRPr="00047E93">
          <w:rPr>
            <w:rStyle w:val="PageNumber"/>
            <w:rFonts w:ascii="Times New Roman" w:hAnsi="Times New Roman" w:cs="Times New Roman"/>
            <w:noProof/>
          </w:rPr>
          <w:t>1</w:t>
        </w:r>
        <w:r w:rsidRPr="00047E93">
          <w:rPr>
            <w:rStyle w:val="PageNumber"/>
            <w:rFonts w:ascii="Times New Roman" w:hAnsi="Times New Roman" w:cs="Times New Roman"/>
          </w:rPr>
          <w:fldChar w:fldCharType="end"/>
        </w:r>
      </w:p>
    </w:sdtContent>
  </w:sdt>
  <w:p w14:paraId="765E038B" w14:textId="77777777" w:rsidR="00047E93" w:rsidRDefault="00047E93" w:rsidP="00047E9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A0172"/>
    <w:multiLevelType w:val="hybridMultilevel"/>
    <w:tmpl w:val="17E63954"/>
    <w:lvl w:ilvl="0" w:tplc="AEBAB282">
      <w:numFmt w:val="bullet"/>
      <w:lvlText w:val="—"/>
      <w:lvlJc w:val="left"/>
      <w:pPr>
        <w:ind w:left="480" w:hanging="360"/>
      </w:pPr>
      <w:rPr>
        <w:rFonts w:ascii="Times New Roman" w:eastAsia="Georgia" w:hAnsi="Times New Roman"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 w15:restartNumberingAfterBreak="0">
    <w:nsid w:val="21696166"/>
    <w:multiLevelType w:val="hybridMultilevel"/>
    <w:tmpl w:val="EE5A9DF2"/>
    <w:lvl w:ilvl="0" w:tplc="08090005">
      <w:start w:val="1"/>
      <w:numFmt w:val="bullet"/>
      <w:lvlText w:val=""/>
      <w:lvlJc w:val="left"/>
      <w:pPr>
        <w:ind w:left="480" w:hanging="360"/>
      </w:pPr>
      <w:rPr>
        <w:rFonts w:ascii="Wingdings" w:hAnsi="Wingdings" w:hint="default"/>
      </w:rPr>
    </w:lvl>
    <w:lvl w:ilvl="1" w:tplc="FFFFFFFF" w:tentative="1">
      <w:start w:val="1"/>
      <w:numFmt w:val="bullet"/>
      <w:lvlText w:val="o"/>
      <w:lvlJc w:val="left"/>
      <w:pPr>
        <w:ind w:left="1200" w:hanging="360"/>
      </w:pPr>
      <w:rPr>
        <w:rFonts w:ascii="Courier New" w:hAnsi="Courier New" w:cs="Courier New" w:hint="default"/>
      </w:rPr>
    </w:lvl>
    <w:lvl w:ilvl="2" w:tplc="FFFFFFFF" w:tentative="1">
      <w:start w:val="1"/>
      <w:numFmt w:val="bullet"/>
      <w:lvlText w:val=""/>
      <w:lvlJc w:val="left"/>
      <w:pPr>
        <w:ind w:left="1920" w:hanging="360"/>
      </w:pPr>
      <w:rPr>
        <w:rFonts w:ascii="Wingdings" w:hAnsi="Wingdings" w:hint="default"/>
      </w:rPr>
    </w:lvl>
    <w:lvl w:ilvl="3" w:tplc="FFFFFFFF" w:tentative="1">
      <w:start w:val="1"/>
      <w:numFmt w:val="bullet"/>
      <w:lvlText w:val=""/>
      <w:lvlJc w:val="left"/>
      <w:pPr>
        <w:ind w:left="2640" w:hanging="360"/>
      </w:pPr>
      <w:rPr>
        <w:rFonts w:ascii="Symbol" w:hAnsi="Symbol" w:hint="default"/>
      </w:rPr>
    </w:lvl>
    <w:lvl w:ilvl="4" w:tplc="FFFFFFFF" w:tentative="1">
      <w:start w:val="1"/>
      <w:numFmt w:val="bullet"/>
      <w:lvlText w:val="o"/>
      <w:lvlJc w:val="left"/>
      <w:pPr>
        <w:ind w:left="3360" w:hanging="360"/>
      </w:pPr>
      <w:rPr>
        <w:rFonts w:ascii="Courier New" w:hAnsi="Courier New" w:cs="Courier New" w:hint="default"/>
      </w:rPr>
    </w:lvl>
    <w:lvl w:ilvl="5" w:tplc="FFFFFFFF" w:tentative="1">
      <w:start w:val="1"/>
      <w:numFmt w:val="bullet"/>
      <w:lvlText w:val=""/>
      <w:lvlJc w:val="left"/>
      <w:pPr>
        <w:ind w:left="4080" w:hanging="360"/>
      </w:pPr>
      <w:rPr>
        <w:rFonts w:ascii="Wingdings" w:hAnsi="Wingdings" w:hint="default"/>
      </w:rPr>
    </w:lvl>
    <w:lvl w:ilvl="6" w:tplc="FFFFFFFF" w:tentative="1">
      <w:start w:val="1"/>
      <w:numFmt w:val="bullet"/>
      <w:lvlText w:val=""/>
      <w:lvlJc w:val="left"/>
      <w:pPr>
        <w:ind w:left="4800" w:hanging="360"/>
      </w:pPr>
      <w:rPr>
        <w:rFonts w:ascii="Symbol" w:hAnsi="Symbol" w:hint="default"/>
      </w:rPr>
    </w:lvl>
    <w:lvl w:ilvl="7" w:tplc="FFFFFFFF" w:tentative="1">
      <w:start w:val="1"/>
      <w:numFmt w:val="bullet"/>
      <w:lvlText w:val="o"/>
      <w:lvlJc w:val="left"/>
      <w:pPr>
        <w:ind w:left="5520" w:hanging="360"/>
      </w:pPr>
      <w:rPr>
        <w:rFonts w:ascii="Courier New" w:hAnsi="Courier New" w:cs="Courier New" w:hint="default"/>
      </w:rPr>
    </w:lvl>
    <w:lvl w:ilvl="8" w:tplc="FFFFFFFF" w:tentative="1">
      <w:start w:val="1"/>
      <w:numFmt w:val="bullet"/>
      <w:lvlText w:val=""/>
      <w:lvlJc w:val="left"/>
      <w:pPr>
        <w:ind w:left="6240" w:hanging="360"/>
      </w:pPr>
      <w:rPr>
        <w:rFonts w:ascii="Wingdings" w:hAnsi="Wingdings" w:hint="default"/>
      </w:rPr>
    </w:lvl>
  </w:abstractNum>
  <w:abstractNum w:abstractNumId="2" w15:restartNumberingAfterBreak="0">
    <w:nsid w:val="29555293"/>
    <w:multiLevelType w:val="hybridMultilevel"/>
    <w:tmpl w:val="A6929866"/>
    <w:lvl w:ilvl="0" w:tplc="08090005">
      <w:start w:val="1"/>
      <w:numFmt w:val="bullet"/>
      <w:lvlText w:val=""/>
      <w:lvlJc w:val="left"/>
      <w:pPr>
        <w:ind w:left="480" w:hanging="360"/>
      </w:pPr>
      <w:rPr>
        <w:rFonts w:ascii="Wingdings" w:hAnsi="Wingdings" w:hint="default"/>
      </w:rPr>
    </w:lvl>
    <w:lvl w:ilvl="1" w:tplc="FFFFFFFF" w:tentative="1">
      <w:start w:val="1"/>
      <w:numFmt w:val="bullet"/>
      <w:lvlText w:val="o"/>
      <w:lvlJc w:val="left"/>
      <w:pPr>
        <w:ind w:left="1200" w:hanging="360"/>
      </w:pPr>
      <w:rPr>
        <w:rFonts w:ascii="Courier New" w:hAnsi="Courier New" w:cs="Courier New" w:hint="default"/>
      </w:rPr>
    </w:lvl>
    <w:lvl w:ilvl="2" w:tplc="FFFFFFFF" w:tentative="1">
      <w:start w:val="1"/>
      <w:numFmt w:val="bullet"/>
      <w:lvlText w:val=""/>
      <w:lvlJc w:val="left"/>
      <w:pPr>
        <w:ind w:left="1920" w:hanging="360"/>
      </w:pPr>
      <w:rPr>
        <w:rFonts w:ascii="Wingdings" w:hAnsi="Wingdings" w:hint="default"/>
      </w:rPr>
    </w:lvl>
    <w:lvl w:ilvl="3" w:tplc="FFFFFFFF" w:tentative="1">
      <w:start w:val="1"/>
      <w:numFmt w:val="bullet"/>
      <w:lvlText w:val=""/>
      <w:lvlJc w:val="left"/>
      <w:pPr>
        <w:ind w:left="2640" w:hanging="360"/>
      </w:pPr>
      <w:rPr>
        <w:rFonts w:ascii="Symbol" w:hAnsi="Symbol" w:hint="default"/>
      </w:rPr>
    </w:lvl>
    <w:lvl w:ilvl="4" w:tplc="FFFFFFFF" w:tentative="1">
      <w:start w:val="1"/>
      <w:numFmt w:val="bullet"/>
      <w:lvlText w:val="o"/>
      <w:lvlJc w:val="left"/>
      <w:pPr>
        <w:ind w:left="3360" w:hanging="360"/>
      </w:pPr>
      <w:rPr>
        <w:rFonts w:ascii="Courier New" w:hAnsi="Courier New" w:cs="Courier New" w:hint="default"/>
      </w:rPr>
    </w:lvl>
    <w:lvl w:ilvl="5" w:tplc="FFFFFFFF" w:tentative="1">
      <w:start w:val="1"/>
      <w:numFmt w:val="bullet"/>
      <w:lvlText w:val=""/>
      <w:lvlJc w:val="left"/>
      <w:pPr>
        <w:ind w:left="4080" w:hanging="360"/>
      </w:pPr>
      <w:rPr>
        <w:rFonts w:ascii="Wingdings" w:hAnsi="Wingdings" w:hint="default"/>
      </w:rPr>
    </w:lvl>
    <w:lvl w:ilvl="6" w:tplc="FFFFFFFF" w:tentative="1">
      <w:start w:val="1"/>
      <w:numFmt w:val="bullet"/>
      <w:lvlText w:val=""/>
      <w:lvlJc w:val="left"/>
      <w:pPr>
        <w:ind w:left="4800" w:hanging="360"/>
      </w:pPr>
      <w:rPr>
        <w:rFonts w:ascii="Symbol" w:hAnsi="Symbol" w:hint="default"/>
      </w:rPr>
    </w:lvl>
    <w:lvl w:ilvl="7" w:tplc="FFFFFFFF" w:tentative="1">
      <w:start w:val="1"/>
      <w:numFmt w:val="bullet"/>
      <w:lvlText w:val="o"/>
      <w:lvlJc w:val="left"/>
      <w:pPr>
        <w:ind w:left="5520" w:hanging="360"/>
      </w:pPr>
      <w:rPr>
        <w:rFonts w:ascii="Courier New" w:hAnsi="Courier New" w:cs="Courier New" w:hint="default"/>
      </w:rPr>
    </w:lvl>
    <w:lvl w:ilvl="8" w:tplc="FFFFFFFF" w:tentative="1">
      <w:start w:val="1"/>
      <w:numFmt w:val="bullet"/>
      <w:lvlText w:val=""/>
      <w:lvlJc w:val="left"/>
      <w:pPr>
        <w:ind w:left="6240" w:hanging="360"/>
      </w:pPr>
      <w:rPr>
        <w:rFonts w:ascii="Wingdings" w:hAnsi="Wingdings" w:hint="default"/>
      </w:rPr>
    </w:lvl>
  </w:abstractNum>
  <w:abstractNum w:abstractNumId="3" w15:restartNumberingAfterBreak="0">
    <w:nsid w:val="2D9148AD"/>
    <w:multiLevelType w:val="hybridMultilevel"/>
    <w:tmpl w:val="C9DEBE42"/>
    <w:lvl w:ilvl="0" w:tplc="08090005">
      <w:start w:val="1"/>
      <w:numFmt w:val="bullet"/>
      <w:lvlText w:val=""/>
      <w:lvlJc w:val="left"/>
      <w:pPr>
        <w:ind w:left="840" w:hanging="360"/>
      </w:pPr>
      <w:rPr>
        <w:rFonts w:ascii="Wingdings" w:hAnsi="Wingdings"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 w15:restartNumberingAfterBreak="0">
    <w:nsid w:val="308B06AA"/>
    <w:multiLevelType w:val="hybridMultilevel"/>
    <w:tmpl w:val="BC10363C"/>
    <w:lvl w:ilvl="0" w:tplc="08090005">
      <w:start w:val="1"/>
      <w:numFmt w:val="bullet"/>
      <w:lvlText w:val=""/>
      <w:lvlJc w:val="left"/>
      <w:pPr>
        <w:ind w:left="840" w:hanging="360"/>
      </w:pPr>
      <w:rPr>
        <w:rFonts w:ascii="Wingdings" w:hAnsi="Wingdings"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 w15:restartNumberingAfterBreak="0">
    <w:nsid w:val="4039101B"/>
    <w:multiLevelType w:val="hybridMultilevel"/>
    <w:tmpl w:val="C062E6EC"/>
    <w:lvl w:ilvl="0" w:tplc="08090005">
      <w:start w:val="1"/>
      <w:numFmt w:val="bullet"/>
      <w:lvlText w:val=""/>
      <w:lvlJc w:val="left"/>
      <w:pPr>
        <w:ind w:left="480" w:hanging="360"/>
      </w:pPr>
      <w:rPr>
        <w:rFonts w:ascii="Wingdings" w:hAnsi="Wingdings" w:hint="default"/>
      </w:rPr>
    </w:lvl>
    <w:lvl w:ilvl="1" w:tplc="FFFFFFFF" w:tentative="1">
      <w:start w:val="1"/>
      <w:numFmt w:val="bullet"/>
      <w:lvlText w:val="o"/>
      <w:lvlJc w:val="left"/>
      <w:pPr>
        <w:ind w:left="1200" w:hanging="360"/>
      </w:pPr>
      <w:rPr>
        <w:rFonts w:ascii="Courier New" w:hAnsi="Courier New" w:cs="Courier New" w:hint="default"/>
      </w:rPr>
    </w:lvl>
    <w:lvl w:ilvl="2" w:tplc="FFFFFFFF" w:tentative="1">
      <w:start w:val="1"/>
      <w:numFmt w:val="bullet"/>
      <w:lvlText w:val=""/>
      <w:lvlJc w:val="left"/>
      <w:pPr>
        <w:ind w:left="1920" w:hanging="360"/>
      </w:pPr>
      <w:rPr>
        <w:rFonts w:ascii="Wingdings" w:hAnsi="Wingdings" w:hint="default"/>
      </w:rPr>
    </w:lvl>
    <w:lvl w:ilvl="3" w:tplc="FFFFFFFF" w:tentative="1">
      <w:start w:val="1"/>
      <w:numFmt w:val="bullet"/>
      <w:lvlText w:val=""/>
      <w:lvlJc w:val="left"/>
      <w:pPr>
        <w:ind w:left="2640" w:hanging="360"/>
      </w:pPr>
      <w:rPr>
        <w:rFonts w:ascii="Symbol" w:hAnsi="Symbol" w:hint="default"/>
      </w:rPr>
    </w:lvl>
    <w:lvl w:ilvl="4" w:tplc="FFFFFFFF" w:tentative="1">
      <w:start w:val="1"/>
      <w:numFmt w:val="bullet"/>
      <w:lvlText w:val="o"/>
      <w:lvlJc w:val="left"/>
      <w:pPr>
        <w:ind w:left="3360" w:hanging="360"/>
      </w:pPr>
      <w:rPr>
        <w:rFonts w:ascii="Courier New" w:hAnsi="Courier New" w:cs="Courier New" w:hint="default"/>
      </w:rPr>
    </w:lvl>
    <w:lvl w:ilvl="5" w:tplc="FFFFFFFF" w:tentative="1">
      <w:start w:val="1"/>
      <w:numFmt w:val="bullet"/>
      <w:lvlText w:val=""/>
      <w:lvlJc w:val="left"/>
      <w:pPr>
        <w:ind w:left="4080" w:hanging="360"/>
      </w:pPr>
      <w:rPr>
        <w:rFonts w:ascii="Wingdings" w:hAnsi="Wingdings" w:hint="default"/>
      </w:rPr>
    </w:lvl>
    <w:lvl w:ilvl="6" w:tplc="FFFFFFFF" w:tentative="1">
      <w:start w:val="1"/>
      <w:numFmt w:val="bullet"/>
      <w:lvlText w:val=""/>
      <w:lvlJc w:val="left"/>
      <w:pPr>
        <w:ind w:left="4800" w:hanging="360"/>
      </w:pPr>
      <w:rPr>
        <w:rFonts w:ascii="Symbol" w:hAnsi="Symbol" w:hint="default"/>
      </w:rPr>
    </w:lvl>
    <w:lvl w:ilvl="7" w:tplc="FFFFFFFF" w:tentative="1">
      <w:start w:val="1"/>
      <w:numFmt w:val="bullet"/>
      <w:lvlText w:val="o"/>
      <w:lvlJc w:val="left"/>
      <w:pPr>
        <w:ind w:left="5520" w:hanging="360"/>
      </w:pPr>
      <w:rPr>
        <w:rFonts w:ascii="Courier New" w:hAnsi="Courier New" w:cs="Courier New" w:hint="default"/>
      </w:rPr>
    </w:lvl>
    <w:lvl w:ilvl="8" w:tplc="FFFFFFFF" w:tentative="1">
      <w:start w:val="1"/>
      <w:numFmt w:val="bullet"/>
      <w:lvlText w:val=""/>
      <w:lvlJc w:val="left"/>
      <w:pPr>
        <w:ind w:left="6240" w:hanging="360"/>
      </w:pPr>
      <w:rPr>
        <w:rFonts w:ascii="Wingdings" w:hAnsi="Wingdings" w:hint="default"/>
      </w:rPr>
    </w:lvl>
  </w:abstractNum>
  <w:abstractNum w:abstractNumId="6" w15:restartNumberingAfterBreak="0">
    <w:nsid w:val="49D4196B"/>
    <w:multiLevelType w:val="hybridMultilevel"/>
    <w:tmpl w:val="D8CE02E2"/>
    <w:lvl w:ilvl="0" w:tplc="AEBAB282">
      <w:numFmt w:val="bullet"/>
      <w:lvlText w:val="—"/>
      <w:lvlJc w:val="left"/>
      <w:pPr>
        <w:ind w:left="480" w:hanging="360"/>
      </w:pPr>
      <w:rPr>
        <w:rFonts w:ascii="Times New Roman" w:eastAsia="Georgia" w:hAnsi="Times New Roman"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7" w15:restartNumberingAfterBreak="0">
    <w:nsid w:val="4BB821D7"/>
    <w:multiLevelType w:val="hybridMultilevel"/>
    <w:tmpl w:val="8A7E6E68"/>
    <w:lvl w:ilvl="0" w:tplc="AEBAB282">
      <w:numFmt w:val="bullet"/>
      <w:lvlText w:val="—"/>
      <w:lvlJc w:val="left"/>
      <w:pPr>
        <w:ind w:left="480" w:hanging="360"/>
      </w:pPr>
      <w:rPr>
        <w:rFonts w:ascii="Times New Roman" w:eastAsia="Georgia" w:hAnsi="Times New Roman"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8" w15:restartNumberingAfterBreak="0">
    <w:nsid w:val="568C10A4"/>
    <w:multiLevelType w:val="hybridMultilevel"/>
    <w:tmpl w:val="A9AE206E"/>
    <w:lvl w:ilvl="0" w:tplc="AEBAB282">
      <w:numFmt w:val="bullet"/>
      <w:lvlText w:val="—"/>
      <w:lvlJc w:val="left"/>
      <w:pPr>
        <w:ind w:left="480" w:hanging="360"/>
      </w:pPr>
      <w:rPr>
        <w:rFonts w:ascii="Times New Roman" w:eastAsia="Georgia" w:hAnsi="Times New Roman"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9" w15:restartNumberingAfterBreak="0">
    <w:nsid w:val="586A2940"/>
    <w:multiLevelType w:val="hybridMultilevel"/>
    <w:tmpl w:val="392E24B8"/>
    <w:lvl w:ilvl="0" w:tplc="08090005">
      <w:start w:val="1"/>
      <w:numFmt w:val="bullet"/>
      <w:lvlText w:val=""/>
      <w:lvlJc w:val="left"/>
      <w:pPr>
        <w:ind w:left="480" w:hanging="360"/>
      </w:pPr>
      <w:rPr>
        <w:rFonts w:ascii="Wingdings" w:hAnsi="Wingdings" w:hint="default"/>
      </w:rPr>
    </w:lvl>
    <w:lvl w:ilvl="1" w:tplc="FFFFFFFF" w:tentative="1">
      <w:start w:val="1"/>
      <w:numFmt w:val="bullet"/>
      <w:lvlText w:val="o"/>
      <w:lvlJc w:val="left"/>
      <w:pPr>
        <w:ind w:left="1200" w:hanging="360"/>
      </w:pPr>
      <w:rPr>
        <w:rFonts w:ascii="Courier New" w:hAnsi="Courier New" w:cs="Courier New" w:hint="default"/>
      </w:rPr>
    </w:lvl>
    <w:lvl w:ilvl="2" w:tplc="FFFFFFFF" w:tentative="1">
      <w:start w:val="1"/>
      <w:numFmt w:val="bullet"/>
      <w:lvlText w:val=""/>
      <w:lvlJc w:val="left"/>
      <w:pPr>
        <w:ind w:left="1920" w:hanging="360"/>
      </w:pPr>
      <w:rPr>
        <w:rFonts w:ascii="Wingdings" w:hAnsi="Wingdings" w:hint="default"/>
      </w:rPr>
    </w:lvl>
    <w:lvl w:ilvl="3" w:tplc="FFFFFFFF" w:tentative="1">
      <w:start w:val="1"/>
      <w:numFmt w:val="bullet"/>
      <w:lvlText w:val=""/>
      <w:lvlJc w:val="left"/>
      <w:pPr>
        <w:ind w:left="2640" w:hanging="360"/>
      </w:pPr>
      <w:rPr>
        <w:rFonts w:ascii="Symbol" w:hAnsi="Symbol" w:hint="default"/>
      </w:rPr>
    </w:lvl>
    <w:lvl w:ilvl="4" w:tplc="FFFFFFFF" w:tentative="1">
      <w:start w:val="1"/>
      <w:numFmt w:val="bullet"/>
      <w:lvlText w:val="o"/>
      <w:lvlJc w:val="left"/>
      <w:pPr>
        <w:ind w:left="3360" w:hanging="360"/>
      </w:pPr>
      <w:rPr>
        <w:rFonts w:ascii="Courier New" w:hAnsi="Courier New" w:cs="Courier New" w:hint="default"/>
      </w:rPr>
    </w:lvl>
    <w:lvl w:ilvl="5" w:tplc="FFFFFFFF" w:tentative="1">
      <w:start w:val="1"/>
      <w:numFmt w:val="bullet"/>
      <w:lvlText w:val=""/>
      <w:lvlJc w:val="left"/>
      <w:pPr>
        <w:ind w:left="4080" w:hanging="360"/>
      </w:pPr>
      <w:rPr>
        <w:rFonts w:ascii="Wingdings" w:hAnsi="Wingdings" w:hint="default"/>
      </w:rPr>
    </w:lvl>
    <w:lvl w:ilvl="6" w:tplc="FFFFFFFF" w:tentative="1">
      <w:start w:val="1"/>
      <w:numFmt w:val="bullet"/>
      <w:lvlText w:val=""/>
      <w:lvlJc w:val="left"/>
      <w:pPr>
        <w:ind w:left="4800" w:hanging="360"/>
      </w:pPr>
      <w:rPr>
        <w:rFonts w:ascii="Symbol" w:hAnsi="Symbol" w:hint="default"/>
      </w:rPr>
    </w:lvl>
    <w:lvl w:ilvl="7" w:tplc="FFFFFFFF" w:tentative="1">
      <w:start w:val="1"/>
      <w:numFmt w:val="bullet"/>
      <w:lvlText w:val="o"/>
      <w:lvlJc w:val="left"/>
      <w:pPr>
        <w:ind w:left="5520" w:hanging="360"/>
      </w:pPr>
      <w:rPr>
        <w:rFonts w:ascii="Courier New" w:hAnsi="Courier New" w:cs="Courier New" w:hint="default"/>
      </w:rPr>
    </w:lvl>
    <w:lvl w:ilvl="8" w:tplc="FFFFFFFF" w:tentative="1">
      <w:start w:val="1"/>
      <w:numFmt w:val="bullet"/>
      <w:lvlText w:val=""/>
      <w:lvlJc w:val="left"/>
      <w:pPr>
        <w:ind w:left="6240" w:hanging="360"/>
      </w:pPr>
      <w:rPr>
        <w:rFonts w:ascii="Wingdings" w:hAnsi="Wingdings" w:hint="default"/>
      </w:rPr>
    </w:lvl>
  </w:abstractNum>
  <w:abstractNum w:abstractNumId="10" w15:restartNumberingAfterBreak="0">
    <w:nsid w:val="6B0C7171"/>
    <w:multiLevelType w:val="hybridMultilevel"/>
    <w:tmpl w:val="8264C506"/>
    <w:lvl w:ilvl="0" w:tplc="08090005">
      <w:start w:val="1"/>
      <w:numFmt w:val="bullet"/>
      <w:lvlText w:val=""/>
      <w:lvlJc w:val="left"/>
      <w:pPr>
        <w:ind w:left="840" w:hanging="360"/>
      </w:pPr>
      <w:rPr>
        <w:rFonts w:ascii="Wingdings" w:hAnsi="Wingdings"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1" w15:restartNumberingAfterBreak="0">
    <w:nsid w:val="7D282F1C"/>
    <w:multiLevelType w:val="hybridMultilevel"/>
    <w:tmpl w:val="0936A462"/>
    <w:lvl w:ilvl="0" w:tplc="08090005">
      <w:start w:val="1"/>
      <w:numFmt w:val="bullet"/>
      <w:lvlText w:val=""/>
      <w:lvlJc w:val="left"/>
      <w:pPr>
        <w:ind w:left="840" w:hanging="360"/>
      </w:pPr>
      <w:rPr>
        <w:rFonts w:ascii="Wingdings" w:hAnsi="Wingdings"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706954894">
    <w:abstractNumId w:val="10"/>
  </w:num>
  <w:num w:numId="2" w16cid:durableId="1954676969">
    <w:abstractNumId w:val="0"/>
  </w:num>
  <w:num w:numId="3" w16cid:durableId="688724468">
    <w:abstractNumId w:val="2"/>
  </w:num>
  <w:num w:numId="4" w16cid:durableId="613485332">
    <w:abstractNumId w:val="4"/>
  </w:num>
  <w:num w:numId="5" w16cid:durableId="906452419">
    <w:abstractNumId w:val="8"/>
  </w:num>
  <w:num w:numId="6" w16cid:durableId="1109813001">
    <w:abstractNumId w:val="9"/>
  </w:num>
  <w:num w:numId="7" w16cid:durableId="2092971885">
    <w:abstractNumId w:val="11"/>
  </w:num>
  <w:num w:numId="8" w16cid:durableId="1886411046">
    <w:abstractNumId w:val="7"/>
  </w:num>
  <w:num w:numId="9" w16cid:durableId="108933211">
    <w:abstractNumId w:val="5"/>
  </w:num>
  <w:num w:numId="10" w16cid:durableId="1387876965">
    <w:abstractNumId w:val="3"/>
  </w:num>
  <w:num w:numId="11" w16cid:durableId="2065399148">
    <w:abstractNumId w:val="6"/>
  </w:num>
  <w:num w:numId="12" w16cid:durableId="1575578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E93"/>
    <w:rsid w:val="00047E93"/>
    <w:rsid w:val="002D18C1"/>
    <w:rsid w:val="00340CA1"/>
    <w:rsid w:val="006E6E77"/>
    <w:rsid w:val="007A6D8F"/>
    <w:rsid w:val="00A55B13"/>
    <w:rsid w:val="00D71E29"/>
    <w:rsid w:val="00E94F3A"/>
    <w:rsid w:val="00FD499C"/>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4F16CEDC"/>
  <w15:chartTrackingRefBased/>
  <w15:docId w15:val="{2B77C2AA-0204-1047-9AE0-B10400B57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E93"/>
    <w:rPr>
      <w:rFonts w:ascii="Georgia" w:eastAsia="Georgia" w:hAnsi="Georgia" w:cs="Georgia"/>
      <w:kern w:val="0"/>
      <w:sz w:val="22"/>
      <w:szCs w:val="22"/>
      <w:lang w:eastAsia="en-GB"/>
      <w14:ligatures w14:val="none"/>
    </w:rPr>
  </w:style>
  <w:style w:type="paragraph" w:styleId="Heading1">
    <w:name w:val="heading 1"/>
    <w:basedOn w:val="Normal"/>
    <w:next w:val="Normal"/>
    <w:link w:val="Heading1Char"/>
    <w:uiPriority w:val="9"/>
    <w:qFormat/>
    <w:rsid w:val="00047E93"/>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047E93"/>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47E93"/>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47E93"/>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047E93"/>
    <w:pPr>
      <w:keepNext/>
      <w:keepLines/>
      <w:spacing w:before="80" w:after="4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047E93"/>
    <w:pPr>
      <w:keepNext/>
      <w:keepLines/>
      <w:spacing w:before="4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047E93"/>
    <w:pPr>
      <w:keepNext/>
      <w:keepLines/>
      <w:spacing w:before="4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047E93"/>
    <w:pPr>
      <w:keepNext/>
      <w:keepLines/>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047E93"/>
    <w:pPr>
      <w:keepNext/>
      <w:keepLines/>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E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E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E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E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E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E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E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E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E93"/>
    <w:rPr>
      <w:rFonts w:eastAsiaTheme="majorEastAsia" w:cstheme="majorBidi"/>
      <w:color w:val="272727" w:themeColor="text1" w:themeTint="D8"/>
    </w:rPr>
  </w:style>
  <w:style w:type="paragraph" w:styleId="Title">
    <w:name w:val="Title"/>
    <w:basedOn w:val="Normal"/>
    <w:next w:val="Normal"/>
    <w:link w:val="TitleChar"/>
    <w:uiPriority w:val="10"/>
    <w:qFormat/>
    <w:rsid w:val="00047E9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47E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E93"/>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47E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E93"/>
    <w:pPr>
      <w:spacing w:before="160" w:after="16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047E93"/>
    <w:rPr>
      <w:i/>
      <w:iCs/>
      <w:color w:val="404040" w:themeColor="text1" w:themeTint="BF"/>
    </w:rPr>
  </w:style>
  <w:style w:type="paragraph" w:styleId="ListParagraph">
    <w:name w:val="List Paragraph"/>
    <w:basedOn w:val="Normal"/>
    <w:uiPriority w:val="34"/>
    <w:qFormat/>
    <w:rsid w:val="00047E93"/>
    <w:pPr>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047E93"/>
    <w:rPr>
      <w:i/>
      <w:iCs/>
      <w:color w:val="0F4761" w:themeColor="accent1" w:themeShade="BF"/>
    </w:rPr>
  </w:style>
  <w:style w:type="paragraph" w:styleId="IntenseQuote">
    <w:name w:val="Intense Quote"/>
    <w:basedOn w:val="Normal"/>
    <w:next w:val="Normal"/>
    <w:link w:val="IntenseQuoteChar"/>
    <w:uiPriority w:val="30"/>
    <w:qFormat/>
    <w:rsid w:val="00047E9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047E93"/>
    <w:rPr>
      <w:i/>
      <w:iCs/>
      <w:color w:val="0F4761" w:themeColor="accent1" w:themeShade="BF"/>
    </w:rPr>
  </w:style>
  <w:style w:type="character" w:styleId="IntenseReference">
    <w:name w:val="Intense Reference"/>
    <w:basedOn w:val="DefaultParagraphFont"/>
    <w:uiPriority w:val="32"/>
    <w:qFormat/>
    <w:rsid w:val="00047E93"/>
    <w:rPr>
      <w:b/>
      <w:bCs/>
      <w:smallCaps/>
      <w:color w:val="0F4761" w:themeColor="accent1" w:themeShade="BF"/>
      <w:spacing w:val="5"/>
    </w:rPr>
  </w:style>
  <w:style w:type="paragraph" w:styleId="Header">
    <w:name w:val="header"/>
    <w:basedOn w:val="Normal"/>
    <w:link w:val="HeaderChar"/>
    <w:uiPriority w:val="99"/>
    <w:unhideWhenUsed/>
    <w:rsid w:val="00047E93"/>
    <w:pPr>
      <w:tabs>
        <w:tab w:val="center" w:pos="4513"/>
        <w:tab w:val="right" w:pos="9026"/>
      </w:tabs>
    </w:pPr>
  </w:style>
  <w:style w:type="character" w:customStyle="1" w:styleId="HeaderChar">
    <w:name w:val="Header Char"/>
    <w:basedOn w:val="DefaultParagraphFont"/>
    <w:link w:val="Header"/>
    <w:uiPriority w:val="99"/>
    <w:rsid w:val="00047E93"/>
    <w:rPr>
      <w:rFonts w:ascii="Georgia" w:eastAsia="Georgia" w:hAnsi="Georgia" w:cs="Georgia"/>
      <w:kern w:val="0"/>
      <w:sz w:val="22"/>
      <w:szCs w:val="22"/>
      <w:lang w:eastAsia="en-GB"/>
      <w14:ligatures w14:val="none"/>
    </w:rPr>
  </w:style>
  <w:style w:type="paragraph" w:styleId="Footer">
    <w:name w:val="footer"/>
    <w:basedOn w:val="Normal"/>
    <w:link w:val="FooterChar"/>
    <w:uiPriority w:val="99"/>
    <w:unhideWhenUsed/>
    <w:rsid w:val="00047E93"/>
    <w:pPr>
      <w:tabs>
        <w:tab w:val="center" w:pos="4513"/>
        <w:tab w:val="right" w:pos="9026"/>
      </w:tabs>
    </w:pPr>
  </w:style>
  <w:style w:type="character" w:customStyle="1" w:styleId="FooterChar">
    <w:name w:val="Footer Char"/>
    <w:basedOn w:val="DefaultParagraphFont"/>
    <w:link w:val="Footer"/>
    <w:uiPriority w:val="99"/>
    <w:rsid w:val="00047E93"/>
    <w:rPr>
      <w:rFonts w:ascii="Georgia" w:eastAsia="Georgia" w:hAnsi="Georgia" w:cs="Georgia"/>
      <w:kern w:val="0"/>
      <w:sz w:val="22"/>
      <w:szCs w:val="22"/>
      <w:lang w:eastAsia="en-GB"/>
      <w14:ligatures w14:val="none"/>
    </w:rPr>
  </w:style>
  <w:style w:type="character" w:styleId="PageNumber">
    <w:name w:val="page number"/>
    <w:basedOn w:val="DefaultParagraphFont"/>
    <w:uiPriority w:val="99"/>
    <w:semiHidden/>
    <w:unhideWhenUsed/>
    <w:rsid w:val="00047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784</Words>
  <Characters>4127</Characters>
  <Application>Microsoft Office Word</Application>
  <DocSecurity>0</DocSecurity>
  <Lines>64</Lines>
  <Paragraphs>17</Paragraphs>
  <ScaleCrop>false</ScaleCrop>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Martinou</dc:creator>
  <cp:keywords/>
  <dc:description/>
  <cp:lastModifiedBy>Ioanna Martinou</cp:lastModifiedBy>
  <cp:revision>1</cp:revision>
  <dcterms:created xsi:type="dcterms:W3CDTF">2026-07-01T17:30:00Z</dcterms:created>
  <dcterms:modified xsi:type="dcterms:W3CDTF">2026-07-01T17:34:00Z</dcterms:modified>
</cp:coreProperties>
</file>