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96716" w14:textId="77777777" w:rsidR="00F17574" w:rsidRDefault="00F17574" w:rsidP="00F17574">
      <w:pPr>
        <w:spacing w:after="80" w:line="480" w:lineRule="auto"/>
        <w:jc w:val="center"/>
        <w:rPr>
          <w:rFonts w:ascii="Times New Roman" w:hAnsi="Times New Roman" w:cs="Times New Roman"/>
          <w:b/>
          <w:bCs/>
          <w:color w:val="1A1A1A"/>
          <w:sz w:val="24"/>
          <w:szCs w:val="24"/>
        </w:rPr>
      </w:pPr>
      <w:r w:rsidRPr="0043466C">
        <w:rPr>
          <w:rFonts w:ascii="Times New Roman" w:hAnsi="Times New Roman" w:cs="Times New Roman"/>
          <w:b/>
          <w:bCs/>
          <w:color w:val="1A1A1A"/>
          <w:sz w:val="24"/>
          <w:szCs w:val="24"/>
        </w:rPr>
        <w:t>Who Does Agricultural Innovation Actually Feed?</w:t>
      </w:r>
    </w:p>
    <w:p w14:paraId="6E248EA8" w14:textId="77777777" w:rsidR="00F17574" w:rsidRDefault="00F17574" w:rsidP="00F17574">
      <w:pPr>
        <w:spacing w:after="80" w:line="480" w:lineRule="auto"/>
        <w:rPr>
          <w:rFonts w:ascii="Times New Roman" w:hAnsi="Times New Roman" w:cs="Times New Roman"/>
          <w:color w:val="000000" w:themeColor="text1"/>
          <w:sz w:val="24"/>
          <w:szCs w:val="24"/>
        </w:rPr>
      </w:pPr>
      <w:r w:rsidRPr="0043466C">
        <w:rPr>
          <w:rFonts w:ascii="Times New Roman" w:hAnsi="Times New Roman" w:cs="Times New Roman"/>
          <w:color w:val="000000" w:themeColor="text1"/>
          <w:sz w:val="24"/>
          <w:szCs w:val="24"/>
        </w:rPr>
        <w:t>Shadows of Progress: Episode 5</w:t>
      </w:r>
    </w:p>
    <w:p w14:paraId="5F24989E" w14:textId="3864A26C" w:rsidR="00F17574" w:rsidRPr="00F17574" w:rsidRDefault="00F17574" w:rsidP="00F17574">
      <w:pPr>
        <w:spacing w:after="80" w:line="480" w:lineRule="auto"/>
        <w:rPr>
          <w:rFonts w:ascii="Times New Roman" w:hAnsi="Times New Roman" w:cs="Times New Roman"/>
          <w:sz w:val="24"/>
          <w:szCs w:val="24"/>
        </w:rPr>
      </w:pPr>
      <w:r w:rsidRPr="0043466C">
        <w:rPr>
          <w:rFonts w:ascii="Times New Roman" w:hAnsi="Times New Roman" w:cs="Times New Roman"/>
          <w:color w:val="000000" w:themeColor="text1"/>
          <w:sz w:val="24"/>
          <w:szCs w:val="24"/>
        </w:rPr>
        <w:t>Guest: Deepak Malik, private equity investor in food and agriculture</w:t>
      </w:r>
    </w:p>
    <w:p w14:paraId="3B3A8E3F" w14:textId="4398FCBC" w:rsidR="00F17574" w:rsidRPr="00F2386C" w:rsidRDefault="00F17574" w:rsidP="00F17574">
      <w:pPr>
        <w:pStyle w:val="Heading2"/>
        <w:spacing w:line="480" w:lineRule="auto"/>
        <w:rPr>
          <w:rFonts w:ascii="Times New Roman" w:hAnsi="Times New Roman" w:cs="Times New Roman"/>
          <w:sz w:val="24"/>
          <w:szCs w:val="24"/>
        </w:rPr>
      </w:pPr>
      <w:r w:rsidRPr="00F2386C">
        <w:rPr>
          <w:rFonts w:ascii="Times New Roman" w:eastAsia="Georgia" w:hAnsi="Times New Roman" w:cs="Times New Roman"/>
          <w:b/>
          <w:bCs/>
          <w:color w:val="1A1A1A"/>
          <w:sz w:val="24"/>
          <w:szCs w:val="24"/>
        </w:rPr>
        <w:t>1</w:t>
      </w:r>
      <w:r>
        <w:rPr>
          <w:rFonts w:ascii="Times New Roman" w:hAnsi="Times New Roman" w:cs="Times New Roman"/>
        </w:rPr>
        <w:t>.</w:t>
      </w:r>
      <w:r w:rsidRPr="00F2386C">
        <w:rPr>
          <w:rFonts w:ascii="Times New Roman" w:eastAsia="Georgia" w:hAnsi="Times New Roman" w:cs="Times New Roman"/>
          <w:b/>
          <w:bCs/>
          <w:color w:val="1A1A1A"/>
          <w:sz w:val="24"/>
          <w:szCs w:val="24"/>
        </w:rPr>
        <w:t xml:space="preserve"> The System</w:t>
      </w:r>
    </w:p>
    <w:p w14:paraId="506FCF7E" w14:textId="77777777" w:rsidR="00F17574" w:rsidRPr="00F2386C" w:rsidRDefault="00F17574" w:rsidP="00F17574">
      <w:pPr>
        <w:spacing w:after="160" w:line="480" w:lineRule="auto"/>
        <w:jc w:val="both"/>
        <w:rPr>
          <w:rFonts w:ascii="Times New Roman" w:hAnsi="Times New Roman" w:cs="Times New Roman"/>
          <w:sz w:val="24"/>
          <w:szCs w:val="24"/>
        </w:rPr>
      </w:pPr>
      <w:r w:rsidRPr="00F2386C">
        <w:rPr>
          <w:rFonts w:ascii="Times New Roman" w:hAnsi="Times New Roman" w:cs="Times New Roman"/>
          <w:sz w:val="24"/>
          <w:szCs w:val="24"/>
        </w:rPr>
        <w:t>The system this episode examines is the contemporary Indian agricultural economy as it is being reshaped by capital, including drones, hybrid seeds, hydroponics, precision irrigation, and climate-controlled farming. The reshaping is real and is happening at speed in some sectors and very slowly in others, depending almost entirely on who can afford the technology. Deepak Malik runs a private equity fund focused on food and agriculture. He is the first guest in this series whose authority comes from outside the industry he is being asked about, through capital, rather than from inside it through practice.</w:t>
      </w:r>
    </w:p>
    <w:p w14:paraId="6C77EEFC" w14:textId="77777777" w:rsidR="00F17574" w:rsidRPr="00F2386C" w:rsidRDefault="00F17574" w:rsidP="00F17574">
      <w:pPr>
        <w:spacing w:after="160" w:line="480" w:lineRule="auto"/>
        <w:jc w:val="both"/>
        <w:rPr>
          <w:rFonts w:ascii="Times New Roman" w:hAnsi="Times New Roman" w:cs="Times New Roman"/>
          <w:sz w:val="24"/>
          <w:szCs w:val="24"/>
        </w:rPr>
      </w:pPr>
      <w:r w:rsidRPr="00F2386C">
        <w:rPr>
          <w:rFonts w:ascii="Times New Roman" w:hAnsi="Times New Roman" w:cs="Times New Roman"/>
          <w:sz w:val="24"/>
          <w:szCs w:val="24"/>
        </w:rPr>
        <w:t xml:space="preserve">That position is what this </w:t>
      </w:r>
      <w:r>
        <w:rPr>
          <w:rFonts w:ascii="Times New Roman" w:hAnsi="Times New Roman" w:cs="Times New Roman"/>
          <w:sz w:val="24"/>
          <w:szCs w:val="24"/>
        </w:rPr>
        <w:t>episode</w:t>
      </w:r>
      <w:r w:rsidRPr="00F2386C">
        <w:rPr>
          <w:rFonts w:ascii="Times New Roman" w:hAnsi="Times New Roman" w:cs="Times New Roman"/>
          <w:sz w:val="24"/>
          <w:szCs w:val="24"/>
        </w:rPr>
        <w:t xml:space="preserve"> examines. Deepak is informed, sympathetic, and consistently careful in his answers. When the gap between large farmers and smallholders</w:t>
      </w:r>
      <w:r>
        <w:rPr>
          <w:rFonts w:ascii="Times New Roman" w:hAnsi="Times New Roman" w:cs="Times New Roman"/>
          <w:sz w:val="24"/>
          <w:szCs w:val="24"/>
        </w:rPr>
        <w:t xml:space="preserve"> is raised</w:t>
      </w:r>
      <w:r w:rsidRPr="00F2386C">
        <w:rPr>
          <w:rFonts w:ascii="Times New Roman" w:hAnsi="Times New Roman" w:cs="Times New Roman"/>
          <w:sz w:val="24"/>
          <w:szCs w:val="24"/>
        </w:rPr>
        <w:t xml:space="preserve">, he engages it directly each time. The pattern that emerges is what he does after engaging: he acknowledges the gap, names the technologies that would close it, identifies why those technologies do not reach the smallholder, and then locates the responsibility for closing the gap somewhere other than the fund. The </w:t>
      </w:r>
      <w:r>
        <w:rPr>
          <w:rFonts w:ascii="Times New Roman" w:hAnsi="Times New Roman" w:cs="Times New Roman"/>
          <w:sz w:val="24"/>
          <w:szCs w:val="24"/>
        </w:rPr>
        <w:t>episode’s</w:t>
      </w:r>
      <w:r w:rsidRPr="00F2386C">
        <w:rPr>
          <w:rFonts w:ascii="Times New Roman" w:hAnsi="Times New Roman" w:cs="Times New Roman"/>
          <w:sz w:val="24"/>
          <w:szCs w:val="24"/>
        </w:rPr>
        <w:t xml:space="preserve"> question is what kind of agricultural transition gets built when the people financing it consistently point elsewhere.</w:t>
      </w:r>
    </w:p>
    <w:p w14:paraId="50182E0F" w14:textId="77777777" w:rsidR="00F17574" w:rsidRPr="00F2386C" w:rsidRDefault="00F17574" w:rsidP="00F17574">
      <w:pPr>
        <w:pStyle w:val="Heading2"/>
        <w:spacing w:line="480" w:lineRule="auto"/>
        <w:rPr>
          <w:rFonts w:ascii="Times New Roman" w:hAnsi="Times New Roman" w:cs="Times New Roman"/>
          <w:sz w:val="24"/>
          <w:szCs w:val="24"/>
        </w:rPr>
      </w:pPr>
      <w:r w:rsidRPr="00F2386C">
        <w:rPr>
          <w:rFonts w:ascii="Times New Roman" w:eastAsia="Georgia" w:hAnsi="Times New Roman" w:cs="Times New Roman"/>
          <w:b/>
          <w:bCs/>
          <w:color w:val="1A1A1A"/>
          <w:sz w:val="24"/>
          <w:szCs w:val="24"/>
        </w:rPr>
        <w:t>2</w:t>
      </w:r>
      <w:r>
        <w:rPr>
          <w:rFonts w:ascii="Times New Roman" w:hAnsi="Times New Roman" w:cs="Times New Roman"/>
        </w:rPr>
        <w:t>.</w:t>
      </w:r>
      <w:r w:rsidRPr="00F2386C">
        <w:rPr>
          <w:rFonts w:ascii="Times New Roman" w:eastAsia="Georgia" w:hAnsi="Times New Roman" w:cs="Times New Roman"/>
          <w:b/>
          <w:bCs/>
          <w:color w:val="1A1A1A"/>
          <w:sz w:val="24"/>
          <w:szCs w:val="24"/>
        </w:rPr>
        <w:t xml:space="preserve"> The Intended User</w:t>
      </w:r>
    </w:p>
    <w:p w14:paraId="4AABE0AC" w14:textId="77777777" w:rsidR="00F17574" w:rsidRPr="00F2386C" w:rsidRDefault="00F17574" w:rsidP="00F17574">
      <w:pPr>
        <w:spacing w:after="160" w:line="480" w:lineRule="auto"/>
        <w:jc w:val="both"/>
        <w:rPr>
          <w:rFonts w:ascii="Times New Roman" w:hAnsi="Times New Roman" w:cs="Times New Roman"/>
          <w:sz w:val="24"/>
          <w:szCs w:val="24"/>
        </w:rPr>
      </w:pPr>
      <w:r w:rsidRPr="00F2386C">
        <w:rPr>
          <w:rFonts w:ascii="Times New Roman" w:hAnsi="Times New Roman" w:cs="Times New Roman"/>
          <w:sz w:val="24"/>
          <w:szCs w:val="24"/>
        </w:rPr>
        <w:t xml:space="preserve">The default beneficiary of the transition Deepak describes is the well-capitalized farmer. Every technology in the conversation works for someone who can afford it. Hybrid seeds work for </w:t>
      </w:r>
      <w:r w:rsidRPr="00F2386C">
        <w:rPr>
          <w:rFonts w:ascii="Times New Roman" w:hAnsi="Times New Roman" w:cs="Times New Roman"/>
          <w:sz w:val="24"/>
          <w:szCs w:val="24"/>
        </w:rPr>
        <w:lastRenderedPageBreak/>
        <w:t>farmers who can pay annually for new varieties. Drip irrigation works for farmers with electricity and the capital for pipes. Hydroponics works for farmers with infrastructure and access to premium markets that reward the yield premium. Drones work for farmers who can buy and maintain them, or pay for the service. Land consolidation, the answer Deepak repeatedly returns to as the prerequisite for mechanization, works for farmers who hold enough land to make consolidation worth it.</w:t>
      </w:r>
    </w:p>
    <w:p w14:paraId="3ED6FD8D" w14:textId="77777777" w:rsidR="00F17574" w:rsidRPr="00F2386C" w:rsidRDefault="00F17574" w:rsidP="00F17574">
      <w:pPr>
        <w:spacing w:after="160" w:line="480" w:lineRule="auto"/>
        <w:jc w:val="both"/>
        <w:rPr>
          <w:rFonts w:ascii="Times New Roman" w:hAnsi="Times New Roman" w:cs="Times New Roman"/>
          <w:sz w:val="24"/>
          <w:szCs w:val="24"/>
        </w:rPr>
      </w:pPr>
      <w:r w:rsidRPr="00F2386C">
        <w:rPr>
          <w:rFonts w:ascii="Times New Roman" w:hAnsi="Times New Roman" w:cs="Times New Roman"/>
          <w:sz w:val="24"/>
          <w:szCs w:val="24"/>
        </w:rPr>
        <w:t xml:space="preserve">None of these technologies were designed </w:t>
      </w:r>
      <w:r>
        <w:rPr>
          <w:rFonts w:ascii="Times New Roman" w:hAnsi="Times New Roman" w:cs="Times New Roman"/>
          <w:sz w:val="24"/>
          <w:szCs w:val="24"/>
        </w:rPr>
        <w:t xml:space="preserve">for the </w:t>
      </w:r>
      <w:r w:rsidRPr="00F2386C">
        <w:rPr>
          <w:rFonts w:ascii="Times New Roman" w:hAnsi="Times New Roman" w:cs="Times New Roman"/>
          <w:sz w:val="24"/>
          <w:szCs w:val="24"/>
        </w:rPr>
        <w:t xml:space="preserve">marginal smallholder. They were designed for someone else, and the smallholder is in the room they were designed for, watching them work for the person seated next to </w:t>
      </w:r>
      <w:r>
        <w:rPr>
          <w:rFonts w:ascii="Times New Roman" w:hAnsi="Times New Roman" w:cs="Times New Roman"/>
          <w:sz w:val="24"/>
          <w:szCs w:val="24"/>
        </w:rPr>
        <w:t>them.</w:t>
      </w:r>
      <w:r w:rsidRPr="00F2386C">
        <w:rPr>
          <w:rFonts w:ascii="Times New Roman" w:hAnsi="Times New Roman" w:cs="Times New Roman"/>
          <w:sz w:val="24"/>
          <w:szCs w:val="24"/>
        </w:rPr>
        <w:t xml:space="preserve"> The technologies will keep arriving. The room they were designed for will keep being someone else’s room.</w:t>
      </w:r>
    </w:p>
    <w:p w14:paraId="58C9E69C" w14:textId="77777777" w:rsidR="00F17574" w:rsidRPr="00F2386C" w:rsidRDefault="00F17574" w:rsidP="00F17574">
      <w:pPr>
        <w:pStyle w:val="Heading2"/>
        <w:spacing w:line="480" w:lineRule="auto"/>
        <w:rPr>
          <w:rFonts w:ascii="Times New Roman" w:hAnsi="Times New Roman" w:cs="Times New Roman"/>
          <w:sz w:val="24"/>
          <w:szCs w:val="24"/>
        </w:rPr>
      </w:pPr>
      <w:r w:rsidRPr="00F2386C">
        <w:rPr>
          <w:rFonts w:ascii="Times New Roman" w:eastAsia="Georgia" w:hAnsi="Times New Roman" w:cs="Times New Roman"/>
          <w:b/>
          <w:bCs/>
          <w:color w:val="1A1A1A"/>
          <w:sz w:val="24"/>
          <w:szCs w:val="24"/>
        </w:rPr>
        <w:t>3</w:t>
      </w:r>
      <w:r>
        <w:rPr>
          <w:rFonts w:ascii="Times New Roman" w:hAnsi="Times New Roman" w:cs="Times New Roman"/>
        </w:rPr>
        <w:t>.</w:t>
      </w:r>
      <w:r w:rsidRPr="00F2386C">
        <w:rPr>
          <w:rFonts w:ascii="Times New Roman" w:eastAsia="Georgia" w:hAnsi="Times New Roman" w:cs="Times New Roman"/>
          <w:b/>
          <w:bCs/>
          <w:color w:val="1A1A1A"/>
          <w:sz w:val="24"/>
          <w:szCs w:val="24"/>
        </w:rPr>
        <w:t xml:space="preserve"> Hidden Exclusions</w:t>
      </w:r>
    </w:p>
    <w:p w14:paraId="54A0C716" w14:textId="77777777" w:rsidR="00F17574" w:rsidRPr="00DC1998" w:rsidRDefault="00F17574" w:rsidP="00F17574">
      <w:pPr>
        <w:spacing w:after="160" w:line="480" w:lineRule="auto"/>
        <w:jc w:val="both"/>
        <w:rPr>
          <w:rFonts w:ascii="Times New Roman" w:hAnsi="Times New Roman" w:cs="Times New Roman"/>
          <w:sz w:val="24"/>
          <w:szCs w:val="24"/>
        </w:rPr>
      </w:pPr>
      <w:r w:rsidRPr="00DC1998">
        <w:rPr>
          <w:rFonts w:ascii="Times New Roman" w:hAnsi="Times New Roman" w:cs="Times New Roman"/>
          <w:sz w:val="24"/>
          <w:szCs w:val="24"/>
        </w:rPr>
        <w:t>The exclusions in this system are not occasional. They are simultaneous, stacked across the full chain of agricultural inputs, with the smallholder filtered out at every layer.</w:t>
      </w:r>
    </w:p>
    <w:p w14:paraId="37027DB8" w14:textId="77777777" w:rsidR="00F17574" w:rsidRDefault="00F17574" w:rsidP="00F17574">
      <w:pPr>
        <w:spacing w:after="160" w:line="480" w:lineRule="auto"/>
        <w:jc w:val="both"/>
        <w:rPr>
          <w:rFonts w:ascii="Times New Roman" w:hAnsi="Times New Roman" w:cs="Times New Roman"/>
          <w:sz w:val="24"/>
          <w:szCs w:val="24"/>
        </w:rPr>
      </w:pPr>
      <w:r w:rsidRPr="00DC1998">
        <w:rPr>
          <w:rFonts w:ascii="Times New Roman" w:hAnsi="Times New Roman" w:cs="Times New Roman"/>
          <w:i/>
          <w:iCs/>
          <w:sz w:val="24"/>
          <w:szCs w:val="24"/>
        </w:rPr>
        <w:t>Seeds</w:t>
      </w:r>
      <w:r w:rsidRPr="00DC1998">
        <w:rPr>
          <w:rFonts w:ascii="Times New Roman" w:hAnsi="Times New Roman" w:cs="Times New Roman"/>
          <w:sz w:val="24"/>
          <w:szCs w:val="24"/>
        </w:rPr>
        <w:t>. Hybrid varieties are sold by large companies that have spent billions on R&amp;D and price the seed to recover the investment. The farmer is locked into annual repurchase, a subscription she cannot opt out of without losing the yield improvements.</w:t>
      </w:r>
      <w:r w:rsidRPr="00DC1998">
        <w:rPr>
          <w:rFonts w:ascii="Times New Roman" w:hAnsi="Times New Roman" w:cs="Times New Roman"/>
          <w:i/>
          <w:iCs/>
          <w:sz w:val="24"/>
          <w:szCs w:val="24"/>
        </w:rPr>
        <w:t xml:space="preserve"> Irrigation</w:t>
      </w:r>
      <w:r w:rsidRPr="00DC1998">
        <w:rPr>
          <w:rFonts w:ascii="Times New Roman" w:hAnsi="Times New Roman" w:cs="Times New Roman"/>
          <w:sz w:val="24"/>
          <w:szCs w:val="24"/>
        </w:rPr>
        <w:t xml:space="preserve">. Drip systems require electricity </w:t>
      </w:r>
      <w:r>
        <w:rPr>
          <w:rFonts w:ascii="Times New Roman" w:hAnsi="Times New Roman" w:cs="Times New Roman"/>
          <w:sz w:val="24"/>
          <w:szCs w:val="24"/>
        </w:rPr>
        <w:t>they</w:t>
      </w:r>
      <w:r w:rsidRPr="00DC1998">
        <w:rPr>
          <w:rFonts w:ascii="Times New Roman" w:hAnsi="Times New Roman" w:cs="Times New Roman"/>
          <w:sz w:val="24"/>
          <w:szCs w:val="24"/>
        </w:rPr>
        <w:t xml:space="preserve"> likely do not have, pipes </w:t>
      </w:r>
      <w:r>
        <w:rPr>
          <w:rFonts w:ascii="Times New Roman" w:hAnsi="Times New Roman" w:cs="Times New Roman"/>
          <w:sz w:val="24"/>
          <w:szCs w:val="24"/>
        </w:rPr>
        <w:t>they</w:t>
      </w:r>
      <w:r w:rsidRPr="00DC1998">
        <w:rPr>
          <w:rFonts w:ascii="Times New Roman" w:hAnsi="Times New Roman" w:cs="Times New Roman"/>
          <w:sz w:val="24"/>
          <w:szCs w:val="24"/>
        </w:rPr>
        <w:t xml:space="preserve"> cannot afford, and pumps that need maintenance </w:t>
      </w:r>
      <w:r>
        <w:rPr>
          <w:rFonts w:ascii="Times New Roman" w:hAnsi="Times New Roman" w:cs="Times New Roman"/>
          <w:sz w:val="24"/>
          <w:szCs w:val="24"/>
        </w:rPr>
        <w:t>they</w:t>
      </w:r>
      <w:r w:rsidRPr="00DC1998">
        <w:rPr>
          <w:rFonts w:ascii="Times New Roman" w:hAnsi="Times New Roman" w:cs="Times New Roman"/>
          <w:sz w:val="24"/>
          <w:szCs w:val="24"/>
        </w:rPr>
        <w:t xml:space="preserve"> cannot fund. </w:t>
      </w:r>
      <w:r w:rsidRPr="00DC1998">
        <w:rPr>
          <w:rFonts w:ascii="Times New Roman" w:hAnsi="Times New Roman" w:cs="Times New Roman"/>
          <w:i/>
          <w:iCs/>
          <w:sz w:val="24"/>
          <w:szCs w:val="24"/>
        </w:rPr>
        <w:t>Mechanization.</w:t>
      </w:r>
      <w:r w:rsidRPr="00DC1998">
        <w:rPr>
          <w:rFonts w:ascii="Times New Roman" w:hAnsi="Times New Roman" w:cs="Times New Roman"/>
          <w:sz w:val="24"/>
          <w:szCs w:val="24"/>
        </w:rPr>
        <w:t xml:space="preserve"> Tractors, harvesters, and processing equipment require either consolidated landholdings </w:t>
      </w:r>
      <w:r>
        <w:rPr>
          <w:rFonts w:ascii="Times New Roman" w:hAnsi="Times New Roman" w:cs="Times New Roman"/>
          <w:sz w:val="24"/>
          <w:szCs w:val="24"/>
        </w:rPr>
        <w:t>they</w:t>
      </w:r>
      <w:r w:rsidRPr="00DC1998">
        <w:rPr>
          <w:rFonts w:ascii="Times New Roman" w:hAnsi="Times New Roman" w:cs="Times New Roman"/>
          <w:sz w:val="24"/>
          <w:szCs w:val="24"/>
        </w:rPr>
        <w:t xml:space="preserve"> </w:t>
      </w:r>
      <w:r>
        <w:rPr>
          <w:rFonts w:ascii="Times New Roman" w:hAnsi="Times New Roman" w:cs="Times New Roman"/>
          <w:sz w:val="24"/>
          <w:szCs w:val="24"/>
        </w:rPr>
        <w:t>also do</w:t>
      </w:r>
      <w:r w:rsidRPr="00DC1998">
        <w:rPr>
          <w:rFonts w:ascii="Times New Roman" w:hAnsi="Times New Roman" w:cs="Times New Roman"/>
          <w:sz w:val="24"/>
          <w:szCs w:val="24"/>
        </w:rPr>
        <w:t xml:space="preserve"> not have or loans on terms </w:t>
      </w:r>
      <w:r>
        <w:rPr>
          <w:rFonts w:ascii="Times New Roman" w:hAnsi="Times New Roman" w:cs="Times New Roman"/>
          <w:sz w:val="24"/>
          <w:szCs w:val="24"/>
        </w:rPr>
        <w:t>they</w:t>
      </w:r>
      <w:r w:rsidRPr="00DC1998">
        <w:rPr>
          <w:rFonts w:ascii="Times New Roman" w:hAnsi="Times New Roman" w:cs="Times New Roman"/>
          <w:sz w:val="24"/>
          <w:szCs w:val="24"/>
        </w:rPr>
        <w:t xml:space="preserve"> cannot service. </w:t>
      </w:r>
      <w:r w:rsidRPr="00DC1998">
        <w:rPr>
          <w:rFonts w:ascii="Times New Roman" w:hAnsi="Times New Roman" w:cs="Times New Roman"/>
          <w:i/>
          <w:iCs/>
          <w:sz w:val="24"/>
          <w:szCs w:val="24"/>
        </w:rPr>
        <w:t>Information.</w:t>
      </w:r>
      <w:r w:rsidRPr="00DC1998">
        <w:rPr>
          <w:rFonts w:ascii="Times New Roman" w:hAnsi="Times New Roman" w:cs="Times New Roman"/>
          <w:sz w:val="24"/>
          <w:szCs w:val="24"/>
        </w:rPr>
        <w:t xml:space="preserve"> Market prices, weather data, and agronomic guidance flow through smartphones and apps designed for users with devices, bandwidth, and literacy </w:t>
      </w:r>
      <w:r>
        <w:rPr>
          <w:rFonts w:ascii="Times New Roman" w:hAnsi="Times New Roman" w:cs="Times New Roman"/>
          <w:sz w:val="24"/>
          <w:szCs w:val="24"/>
        </w:rPr>
        <w:t>they</w:t>
      </w:r>
      <w:r w:rsidRPr="00DC1998">
        <w:rPr>
          <w:rFonts w:ascii="Times New Roman" w:hAnsi="Times New Roman" w:cs="Times New Roman"/>
          <w:sz w:val="24"/>
          <w:szCs w:val="24"/>
        </w:rPr>
        <w:t xml:space="preserve"> may not possess. </w:t>
      </w:r>
      <w:r w:rsidRPr="00DC1998">
        <w:rPr>
          <w:rFonts w:ascii="Times New Roman" w:hAnsi="Times New Roman" w:cs="Times New Roman"/>
          <w:i/>
          <w:iCs/>
          <w:sz w:val="24"/>
          <w:szCs w:val="24"/>
        </w:rPr>
        <w:t>Price power</w:t>
      </w:r>
      <w:r w:rsidRPr="00DC1998">
        <w:rPr>
          <w:rFonts w:ascii="Times New Roman" w:hAnsi="Times New Roman" w:cs="Times New Roman"/>
          <w:sz w:val="24"/>
          <w:szCs w:val="24"/>
        </w:rPr>
        <w:t xml:space="preserve">. Even when </w:t>
      </w:r>
      <w:r>
        <w:rPr>
          <w:rFonts w:ascii="Times New Roman" w:hAnsi="Times New Roman" w:cs="Times New Roman"/>
          <w:sz w:val="24"/>
          <w:szCs w:val="24"/>
        </w:rPr>
        <w:t>they</w:t>
      </w:r>
      <w:r w:rsidRPr="00DC1998">
        <w:rPr>
          <w:rFonts w:ascii="Times New Roman" w:hAnsi="Times New Roman" w:cs="Times New Roman"/>
          <w:sz w:val="24"/>
          <w:szCs w:val="24"/>
        </w:rPr>
        <w:t xml:space="preserve"> produce, </w:t>
      </w:r>
      <w:r>
        <w:rPr>
          <w:rFonts w:ascii="Times New Roman" w:hAnsi="Times New Roman" w:cs="Times New Roman"/>
          <w:sz w:val="24"/>
          <w:szCs w:val="24"/>
        </w:rPr>
        <w:t>they</w:t>
      </w:r>
      <w:r w:rsidRPr="00DC1998">
        <w:rPr>
          <w:rFonts w:ascii="Times New Roman" w:hAnsi="Times New Roman" w:cs="Times New Roman"/>
          <w:sz w:val="24"/>
          <w:szCs w:val="24"/>
        </w:rPr>
        <w:t xml:space="preserve"> sell through middlemen who hold the information arbitrage between </w:t>
      </w:r>
      <w:r w:rsidRPr="00DC1998">
        <w:rPr>
          <w:rFonts w:ascii="Times New Roman" w:hAnsi="Times New Roman" w:cs="Times New Roman"/>
          <w:sz w:val="24"/>
          <w:szCs w:val="24"/>
        </w:rPr>
        <w:lastRenderedPageBreak/>
        <w:t>farmgate and mandi. The price transparency that would close that gap is not a technology problem; the technology has existed for decades. It is a design choice the system has not made.</w:t>
      </w:r>
    </w:p>
    <w:p w14:paraId="759DD6CE" w14:textId="77777777" w:rsidR="00F17574" w:rsidRPr="00F2386C" w:rsidRDefault="00F17574" w:rsidP="00F17574">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A</w:t>
      </w:r>
      <w:r w:rsidRPr="00DC1998">
        <w:rPr>
          <w:rFonts w:ascii="Times New Roman" w:hAnsi="Times New Roman" w:cs="Times New Roman"/>
          <w:sz w:val="24"/>
          <w:szCs w:val="24"/>
        </w:rPr>
        <w:t>longside the chain</w:t>
      </w:r>
      <w:r>
        <w:rPr>
          <w:rFonts w:ascii="Times New Roman" w:hAnsi="Times New Roman" w:cs="Times New Roman"/>
          <w:sz w:val="24"/>
          <w:szCs w:val="24"/>
        </w:rPr>
        <w:t>,</w:t>
      </w:r>
      <w:r w:rsidRPr="00DC1998">
        <w:rPr>
          <w:rFonts w:ascii="Times New Roman" w:hAnsi="Times New Roman" w:cs="Times New Roman"/>
          <w:sz w:val="24"/>
          <w:szCs w:val="24"/>
        </w:rPr>
        <w:t xml:space="preserve"> a second layer of exclusion</w:t>
      </w:r>
      <w:r>
        <w:rPr>
          <w:rFonts w:ascii="Times New Roman" w:hAnsi="Times New Roman" w:cs="Times New Roman"/>
          <w:sz w:val="24"/>
          <w:szCs w:val="24"/>
        </w:rPr>
        <w:t xml:space="preserve"> surfaces.</w:t>
      </w:r>
      <w:r w:rsidRPr="00DC1998">
        <w:rPr>
          <w:rFonts w:ascii="Times New Roman" w:hAnsi="Times New Roman" w:cs="Times New Roman"/>
          <w:sz w:val="24"/>
          <w:szCs w:val="24"/>
        </w:rPr>
        <w:t xml:space="preserve"> </w:t>
      </w:r>
      <w:r w:rsidRPr="00F2386C">
        <w:rPr>
          <w:rFonts w:ascii="Times New Roman" w:hAnsi="Times New Roman" w:cs="Times New Roman"/>
          <w:sz w:val="24"/>
          <w:szCs w:val="24"/>
        </w:rPr>
        <w:t xml:space="preserve">The second is the village woman whose unpaid labor is being framed as a cost efficiency. </w:t>
      </w:r>
      <w:r w:rsidRPr="00DC1998">
        <w:rPr>
          <w:rFonts w:ascii="Times New Roman" w:hAnsi="Times New Roman" w:cs="Times New Roman"/>
          <w:sz w:val="24"/>
          <w:szCs w:val="24"/>
        </w:rPr>
        <w:t>Deepak describes a government program in which village women are trained to operate agricultural drones, the drone didi model. The intent is genuine and the program is real. The framing in the interview is what is striking. He describes the labor required to manage the drones as almost zero in cost, because it is all household labor. Household labor is not zero. It is unpaid. A development model that treats women’s unpaid time as scalable infrastructure has made a quiet decision about whose work counts.</w:t>
      </w:r>
    </w:p>
    <w:p w14:paraId="43468A4E" w14:textId="77777777" w:rsidR="00F17574" w:rsidRPr="00F2386C" w:rsidRDefault="00F17574" w:rsidP="00F17574">
      <w:pPr>
        <w:spacing w:after="160" w:line="480" w:lineRule="auto"/>
        <w:jc w:val="both"/>
        <w:rPr>
          <w:rFonts w:ascii="Times New Roman" w:hAnsi="Times New Roman" w:cs="Times New Roman"/>
          <w:sz w:val="24"/>
          <w:szCs w:val="24"/>
        </w:rPr>
      </w:pPr>
      <w:r w:rsidRPr="00F2386C">
        <w:rPr>
          <w:rFonts w:ascii="Times New Roman" w:hAnsi="Times New Roman" w:cs="Times New Roman"/>
          <w:sz w:val="24"/>
          <w:szCs w:val="24"/>
        </w:rPr>
        <w:t>Underneath both is a consistent deferral of responsibility. Asked about smallholder access, Deepak points to the government. Asked about seed monopoly, to universities. Asked about drone training, to NGOs. The investor sees the gaps and points away from the capital reshaping the system around them.</w:t>
      </w:r>
    </w:p>
    <w:p w14:paraId="0434BAB7" w14:textId="77777777" w:rsidR="00F17574" w:rsidRPr="00F2386C" w:rsidRDefault="00F17574" w:rsidP="00F17574">
      <w:pPr>
        <w:pStyle w:val="Heading2"/>
        <w:spacing w:line="480" w:lineRule="auto"/>
        <w:rPr>
          <w:rFonts w:ascii="Times New Roman" w:hAnsi="Times New Roman" w:cs="Times New Roman"/>
          <w:sz w:val="24"/>
          <w:szCs w:val="24"/>
        </w:rPr>
      </w:pPr>
      <w:r w:rsidRPr="00F2386C">
        <w:rPr>
          <w:rFonts w:ascii="Times New Roman" w:eastAsia="Georgia" w:hAnsi="Times New Roman" w:cs="Times New Roman"/>
          <w:b/>
          <w:bCs/>
          <w:color w:val="1A1A1A"/>
          <w:sz w:val="24"/>
          <w:szCs w:val="24"/>
        </w:rPr>
        <w:t>4</w:t>
      </w:r>
      <w:r>
        <w:rPr>
          <w:rFonts w:ascii="Times New Roman" w:hAnsi="Times New Roman" w:cs="Times New Roman"/>
        </w:rPr>
        <w:t>.</w:t>
      </w:r>
      <w:r w:rsidRPr="00F2386C">
        <w:rPr>
          <w:rFonts w:ascii="Times New Roman" w:eastAsia="Georgia" w:hAnsi="Times New Roman" w:cs="Times New Roman"/>
          <w:b/>
          <w:bCs/>
          <w:color w:val="1A1A1A"/>
          <w:sz w:val="24"/>
          <w:szCs w:val="24"/>
        </w:rPr>
        <w:t xml:space="preserve"> Embedded Values</w:t>
      </w:r>
    </w:p>
    <w:p w14:paraId="75EBB2ED" w14:textId="77777777" w:rsidR="00F17574" w:rsidRPr="00F2386C" w:rsidRDefault="00F17574" w:rsidP="00F17574">
      <w:pPr>
        <w:spacing w:after="160" w:line="480" w:lineRule="auto"/>
        <w:jc w:val="both"/>
        <w:rPr>
          <w:rFonts w:ascii="Times New Roman" w:hAnsi="Times New Roman" w:cs="Times New Roman"/>
          <w:sz w:val="24"/>
          <w:szCs w:val="24"/>
        </w:rPr>
      </w:pPr>
      <w:r w:rsidRPr="00F2386C">
        <w:rPr>
          <w:rFonts w:ascii="Times New Roman" w:hAnsi="Times New Roman" w:cs="Times New Roman"/>
          <w:sz w:val="24"/>
          <w:szCs w:val="24"/>
        </w:rPr>
        <w:t>The financing structure embedded in this conversation optimizes for return on capitalized technology. Hybrid seeds, hydroponics, automation, drone networks: each is an investment that produces yield and pays back if scaled and adopted. The economics reward the medium and large farmer who can adopt, the seed company that holds the patent, the equipment manufacturer, and the fund whose capital made the cycle possible. Each link in the chain has a financial incentive to make the transition work for itself.</w:t>
      </w:r>
    </w:p>
    <w:p w14:paraId="6E3C33FE" w14:textId="316E0807" w:rsidR="00F17574" w:rsidRPr="00F2386C" w:rsidRDefault="00F17574" w:rsidP="00F17574">
      <w:pPr>
        <w:spacing w:after="160" w:line="480" w:lineRule="auto"/>
        <w:jc w:val="both"/>
        <w:rPr>
          <w:rFonts w:ascii="Times New Roman" w:hAnsi="Times New Roman" w:cs="Times New Roman"/>
          <w:sz w:val="24"/>
          <w:szCs w:val="24"/>
        </w:rPr>
      </w:pPr>
      <w:r w:rsidRPr="00F2386C">
        <w:rPr>
          <w:rFonts w:ascii="Times New Roman" w:hAnsi="Times New Roman" w:cs="Times New Roman"/>
          <w:sz w:val="24"/>
          <w:szCs w:val="24"/>
        </w:rPr>
        <w:t xml:space="preserve">What the structure does not optimize for is the continuation of smallholder agriculture as a way of life. Deepak treats farmer exit from agriculture as an inevitable adjustment to scarce labor and </w:t>
      </w:r>
      <w:r w:rsidRPr="00F2386C">
        <w:rPr>
          <w:rFonts w:ascii="Times New Roman" w:hAnsi="Times New Roman" w:cs="Times New Roman"/>
          <w:sz w:val="24"/>
          <w:szCs w:val="24"/>
        </w:rPr>
        <w:lastRenderedPageBreak/>
        <w:t>consolidating land. They also sell their lands and they get away from agriculture, he says. The treatment of farmer displacement as a structural feature, rather than as something the agricultural transition is producing, is the clearest evidence of what gets counted in the model and what does not.</w:t>
      </w:r>
    </w:p>
    <w:p w14:paraId="16A387E5" w14:textId="77777777" w:rsidR="00F17574" w:rsidRPr="00F2386C" w:rsidRDefault="00F17574" w:rsidP="00F17574">
      <w:pPr>
        <w:spacing w:after="160" w:line="480" w:lineRule="auto"/>
        <w:jc w:val="both"/>
        <w:rPr>
          <w:rFonts w:ascii="Times New Roman" w:hAnsi="Times New Roman" w:cs="Times New Roman"/>
          <w:sz w:val="24"/>
          <w:szCs w:val="24"/>
        </w:rPr>
      </w:pPr>
      <w:r w:rsidRPr="00F2386C">
        <w:rPr>
          <w:rFonts w:ascii="Times New Roman" w:hAnsi="Times New Roman" w:cs="Times New Roman"/>
          <w:sz w:val="24"/>
          <w:szCs w:val="24"/>
        </w:rPr>
        <w:t>Smallholder continuation, the slow generational transmission of land, the dignity of subsistence farming as a way of being in a place: none of these have a return profile. None of them are visible in the financing.</w:t>
      </w:r>
    </w:p>
    <w:p w14:paraId="1AA10FF8" w14:textId="77777777" w:rsidR="00F17574" w:rsidRPr="00F2386C" w:rsidRDefault="00F17574" w:rsidP="00F17574">
      <w:pPr>
        <w:pStyle w:val="Heading2"/>
        <w:spacing w:line="480" w:lineRule="auto"/>
        <w:rPr>
          <w:rFonts w:ascii="Times New Roman" w:hAnsi="Times New Roman" w:cs="Times New Roman"/>
          <w:sz w:val="24"/>
          <w:szCs w:val="24"/>
        </w:rPr>
      </w:pPr>
      <w:r w:rsidRPr="00F2386C">
        <w:rPr>
          <w:rFonts w:ascii="Times New Roman" w:eastAsia="Georgia" w:hAnsi="Times New Roman" w:cs="Times New Roman"/>
          <w:b/>
          <w:bCs/>
          <w:color w:val="1A1A1A"/>
          <w:sz w:val="24"/>
          <w:szCs w:val="24"/>
        </w:rPr>
        <w:t>5</w:t>
      </w:r>
      <w:r>
        <w:rPr>
          <w:rFonts w:ascii="Times New Roman" w:hAnsi="Times New Roman" w:cs="Times New Roman"/>
        </w:rPr>
        <w:t>.</w:t>
      </w:r>
      <w:r w:rsidRPr="00F2386C">
        <w:rPr>
          <w:rFonts w:ascii="Times New Roman" w:eastAsia="Georgia" w:hAnsi="Times New Roman" w:cs="Times New Roman"/>
          <w:b/>
          <w:bCs/>
          <w:color w:val="1A1A1A"/>
          <w:sz w:val="24"/>
          <w:szCs w:val="24"/>
        </w:rPr>
        <w:t xml:space="preserve"> Ethical Redesign</w:t>
      </w:r>
    </w:p>
    <w:p w14:paraId="2FEE6447" w14:textId="77777777" w:rsidR="00F17574" w:rsidRPr="00F2386C" w:rsidRDefault="00F17574" w:rsidP="00F17574">
      <w:pPr>
        <w:spacing w:after="160" w:line="480" w:lineRule="auto"/>
        <w:jc w:val="both"/>
        <w:rPr>
          <w:rFonts w:ascii="Times New Roman" w:hAnsi="Times New Roman" w:cs="Times New Roman"/>
          <w:sz w:val="24"/>
          <w:szCs w:val="24"/>
        </w:rPr>
      </w:pPr>
      <w:r w:rsidRPr="00F2386C">
        <w:rPr>
          <w:rFonts w:ascii="Times New Roman" w:hAnsi="Times New Roman" w:cs="Times New Roman"/>
          <w:sz w:val="24"/>
          <w:szCs w:val="24"/>
        </w:rPr>
        <w:t>What follows are three redesigns of the financing architecture, not of the technology itself. The technology is largely fine. The question is who pays for it to reach whom.</w:t>
      </w:r>
    </w:p>
    <w:p w14:paraId="6789C0B2" w14:textId="77777777" w:rsidR="00F17574" w:rsidRPr="00F2386C" w:rsidRDefault="00F17574" w:rsidP="00F17574">
      <w:pPr>
        <w:spacing w:after="160" w:line="480" w:lineRule="auto"/>
        <w:jc w:val="both"/>
        <w:rPr>
          <w:rFonts w:ascii="Times New Roman" w:hAnsi="Times New Roman" w:cs="Times New Roman"/>
          <w:sz w:val="24"/>
          <w:szCs w:val="24"/>
        </w:rPr>
      </w:pPr>
      <w:r w:rsidRPr="00F2386C">
        <w:rPr>
          <w:rFonts w:ascii="Times New Roman" w:hAnsi="Times New Roman" w:cs="Times New Roman"/>
          <w:sz w:val="24"/>
          <w:szCs w:val="24"/>
        </w:rPr>
        <w:t>The first is patient, subsidized capital for smallholder access to precision agriculture. Drip irrigation, drone service, and hybrid seeds exist, they work, and they are out of reach because the financing model assumes the farmer pays upfront. A redesign uses a public-private financing structure, including government-backed loans on long repayment terms, subsidized by a fund of funds that includes private agricultural investors, to bring the capital cost down for marginal farmers. A private equity manager might argue this is not investable: returns too low, horizons too long. The fund is not being asked to subsidize the loan. It is being asked to participate alongside public capital, on terms that produce smaller returns for a broader base.</w:t>
      </w:r>
    </w:p>
    <w:p w14:paraId="2AB262C1" w14:textId="77777777" w:rsidR="00F17574" w:rsidRPr="00F2386C" w:rsidRDefault="00F17574" w:rsidP="00F17574">
      <w:pPr>
        <w:spacing w:after="160" w:line="480" w:lineRule="auto"/>
        <w:jc w:val="both"/>
        <w:rPr>
          <w:rFonts w:ascii="Times New Roman" w:hAnsi="Times New Roman" w:cs="Times New Roman"/>
          <w:sz w:val="24"/>
          <w:szCs w:val="24"/>
        </w:rPr>
      </w:pPr>
      <w:r w:rsidRPr="00F2386C">
        <w:rPr>
          <w:rFonts w:ascii="Times New Roman" w:hAnsi="Times New Roman" w:cs="Times New Roman"/>
          <w:sz w:val="24"/>
          <w:szCs w:val="24"/>
        </w:rPr>
        <w:t xml:space="preserve">The second concerns compensation for labor inside development programs currently treating women’s unpaid time as scalable infrastructure. Drone didi participants who operate drones across multiple acres should be paid for the work, at a per-acre wage set in coordination with state agricultural departments. A skeptic will say this raises program costs. The current arrangement </w:t>
      </w:r>
      <w:r w:rsidRPr="00F2386C">
        <w:rPr>
          <w:rFonts w:ascii="Times New Roman" w:hAnsi="Times New Roman" w:cs="Times New Roman"/>
          <w:sz w:val="24"/>
          <w:szCs w:val="24"/>
        </w:rPr>
        <w:lastRenderedPageBreak/>
        <w:t>does not lower costs. It transfers them onto the women whose time the program treats as free. Making the wage explicit makes the cost visible, which is a precondition for budgeting it honestly.</w:t>
      </w:r>
    </w:p>
    <w:p w14:paraId="188343C8" w14:textId="71814387" w:rsidR="00F17574" w:rsidRPr="00F2386C" w:rsidRDefault="00EF56EE" w:rsidP="00F17574">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Finally, </w:t>
      </w:r>
      <w:r w:rsidR="00F17574" w:rsidRPr="00F2386C">
        <w:rPr>
          <w:rFonts w:ascii="Times New Roman" w:hAnsi="Times New Roman" w:cs="Times New Roman"/>
          <w:sz w:val="24"/>
          <w:szCs w:val="24"/>
        </w:rPr>
        <w:t>structural public investment in seed development as a counterweight to the seed monopoly Deepak names. He calls for this himself: the government and agricultural institutes should be developing seeds so farmers are not at the mercy of large companies. A redesign treats this as a budget line, with a defined percentage of public agricultural R&amp;D allocated to varieties that can be saved, replanted, and shared without licensing. The counter will be that this duplicates private R&amp;D. The duplication is the point. The private R&amp;D produces seeds that lock farmers in. The public R&amp;D produces seeds that do not.</w:t>
      </w:r>
    </w:p>
    <w:p w14:paraId="7ECC15EF" w14:textId="77777777" w:rsidR="00F17574" w:rsidRPr="00F2386C" w:rsidRDefault="00F17574" w:rsidP="00F17574">
      <w:pPr>
        <w:pStyle w:val="Heading2"/>
        <w:spacing w:line="480" w:lineRule="auto"/>
        <w:rPr>
          <w:rFonts w:ascii="Times New Roman" w:hAnsi="Times New Roman" w:cs="Times New Roman"/>
          <w:sz w:val="24"/>
          <w:szCs w:val="24"/>
        </w:rPr>
      </w:pPr>
      <w:r w:rsidRPr="00F17574">
        <w:rPr>
          <w:rFonts w:ascii="Times New Roman" w:hAnsi="Times New Roman" w:cs="Times New Roman"/>
          <w:b/>
          <w:bCs/>
          <w:color w:val="000000" w:themeColor="text1"/>
          <w:sz w:val="24"/>
          <w:szCs w:val="24"/>
        </w:rPr>
        <w:t>6</w:t>
      </w:r>
      <w:r w:rsidRPr="00F17574">
        <w:rPr>
          <w:rFonts w:ascii="Times New Roman" w:hAnsi="Times New Roman" w:cs="Times New Roman"/>
          <w:color w:val="000000" w:themeColor="text1"/>
          <w:sz w:val="24"/>
          <w:szCs w:val="24"/>
        </w:rPr>
        <w:t>.</w:t>
      </w:r>
      <w:r w:rsidRPr="00F17574">
        <w:rPr>
          <w:rFonts w:ascii="Times New Roman" w:hAnsi="Times New Roman" w:cs="Times New Roman"/>
          <w:color w:val="000000" w:themeColor="text1"/>
        </w:rPr>
        <w:t xml:space="preserve"> </w:t>
      </w:r>
      <w:r w:rsidRPr="00F2386C">
        <w:rPr>
          <w:rFonts w:ascii="Times New Roman" w:eastAsia="Georgia" w:hAnsi="Times New Roman" w:cs="Times New Roman"/>
          <w:b/>
          <w:bCs/>
          <w:color w:val="1A1A1A"/>
          <w:sz w:val="24"/>
          <w:szCs w:val="24"/>
        </w:rPr>
        <w:t>Reflection</w:t>
      </w:r>
    </w:p>
    <w:p w14:paraId="7672808F" w14:textId="77777777" w:rsidR="00F17574" w:rsidRDefault="00F17574" w:rsidP="00F17574">
      <w:pPr>
        <w:spacing w:after="160" w:line="480" w:lineRule="auto"/>
        <w:jc w:val="both"/>
        <w:rPr>
          <w:rFonts w:ascii="Times New Roman" w:hAnsi="Times New Roman" w:cs="Times New Roman"/>
          <w:sz w:val="24"/>
          <w:szCs w:val="24"/>
        </w:rPr>
      </w:pPr>
      <w:r w:rsidRPr="00417A0E">
        <w:rPr>
          <w:rFonts w:ascii="Times New Roman" w:hAnsi="Times New Roman" w:cs="Times New Roman"/>
          <w:sz w:val="24"/>
          <w:szCs w:val="24"/>
        </w:rPr>
        <w:t xml:space="preserve">When I listen back to this conversation, the thing that lingers is not what Deepak said but where he was looking when he said it. </w:t>
      </w:r>
    </w:p>
    <w:p w14:paraId="21BAEF34" w14:textId="77777777" w:rsidR="00F17574" w:rsidRDefault="00F17574" w:rsidP="00F17574">
      <w:pPr>
        <w:spacing w:after="160" w:line="480" w:lineRule="auto"/>
        <w:jc w:val="both"/>
        <w:rPr>
          <w:rFonts w:ascii="Times New Roman" w:hAnsi="Times New Roman" w:cs="Times New Roman"/>
          <w:sz w:val="24"/>
          <w:szCs w:val="24"/>
        </w:rPr>
      </w:pPr>
      <w:r w:rsidRPr="00417A0E">
        <w:rPr>
          <w:rFonts w:ascii="Times New Roman" w:hAnsi="Times New Roman" w:cs="Times New Roman"/>
          <w:sz w:val="24"/>
          <w:szCs w:val="24"/>
        </w:rPr>
        <w:t xml:space="preserve">He looked at the field from a position above it, from inside the financing structures that are shaping its future, and from that position he could see almost everything. He saw the smallholder. He saw the gaps. He saw the technologies that would close some of those gaps and the gaps that the technologies would not close. He named all of it clearly.What he did not see was that the position he was looking from was part of the answer to the question he was being asked. Capital is not separate from the system that is failing the smallholder. It is the system producing the transition the smallholder is being asked to adapt to. </w:t>
      </w:r>
    </w:p>
    <w:p w14:paraId="1B775E1B" w14:textId="77777777" w:rsidR="00F17574" w:rsidRPr="00417A0E" w:rsidRDefault="00F17574" w:rsidP="00F17574">
      <w:pPr>
        <w:spacing w:after="160" w:line="480" w:lineRule="auto"/>
        <w:jc w:val="both"/>
        <w:rPr>
          <w:rFonts w:ascii="Times New Roman" w:hAnsi="Times New Roman" w:cs="Times New Roman"/>
          <w:sz w:val="24"/>
          <w:szCs w:val="24"/>
        </w:rPr>
      </w:pPr>
      <w:r w:rsidRPr="00417A0E">
        <w:rPr>
          <w:rFonts w:ascii="Times New Roman" w:hAnsi="Times New Roman" w:cs="Times New Roman"/>
          <w:sz w:val="24"/>
          <w:szCs w:val="24"/>
        </w:rPr>
        <w:t>What I find hardest to set aside is how easy it is for capital to ask the right questions about inequality and to point to other people to answer them.</w:t>
      </w:r>
    </w:p>
    <w:p w14:paraId="0A7E9414" w14:textId="69108E93" w:rsidR="00A55B13" w:rsidRDefault="00A55B13" w:rsidP="00F17574"/>
    <w:sectPr w:rsidR="00A55B13" w:rsidSect="00F17574">
      <w:headerReference w:type="even" r:id="rId6"/>
      <w:head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8B2E4" w14:textId="77777777" w:rsidR="00C81059" w:rsidRDefault="00C81059" w:rsidP="00F17574">
      <w:r>
        <w:separator/>
      </w:r>
    </w:p>
  </w:endnote>
  <w:endnote w:type="continuationSeparator" w:id="0">
    <w:p w14:paraId="65B4ABEE" w14:textId="77777777" w:rsidR="00C81059" w:rsidRDefault="00C81059" w:rsidP="00F17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AAA7B" w14:textId="77777777" w:rsidR="00C81059" w:rsidRDefault="00C81059" w:rsidP="00F17574">
      <w:r>
        <w:separator/>
      </w:r>
    </w:p>
  </w:footnote>
  <w:footnote w:type="continuationSeparator" w:id="0">
    <w:p w14:paraId="4D8B123C" w14:textId="77777777" w:rsidR="00C81059" w:rsidRDefault="00C81059" w:rsidP="00F17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9092047"/>
      <w:docPartObj>
        <w:docPartGallery w:val="Page Numbers (Top of Page)"/>
        <w:docPartUnique/>
      </w:docPartObj>
    </w:sdtPr>
    <w:sdtContent>
      <w:p w14:paraId="39D4CEA9" w14:textId="577AB5BA" w:rsidR="00F17574" w:rsidRDefault="00F17574" w:rsidP="009B6E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D5D9DC3" w14:textId="77777777" w:rsidR="00F17574" w:rsidRDefault="00F17574" w:rsidP="00F1757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50009332"/>
      <w:docPartObj>
        <w:docPartGallery w:val="Page Numbers (Top of Page)"/>
        <w:docPartUnique/>
      </w:docPartObj>
    </w:sdtPr>
    <w:sdtContent>
      <w:p w14:paraId="5359D124" w14:textId="005C8BBA" w:rsidR="00F17574" w:rsidRDefault="00F17574" w:rsidP="009B6E88">
        <w:pPr>
          <w:pStyle w:val="Header"/>
          <w:framePr w:wrap="none" w:vAnchor="text" w:hAnchor="margin" w:xAlign="right" w:y="1"/>
          <w:rPr>
            <w:rStyle w:val="PageNumber"/>
          </w:rPr>
        </w:pPr>
        <w:r w:rsidRPr="00F17574">
          <w:rPr>
            <w:rStyle w:val="PageNumber"/>
            <w:rFonts w:ascii="Times New Roman" w:hAnsi="Times New Roman" w:cs="Times New Roman"/>
          </w:rPr>
          <w:fldChar w:fldCharType="begin"/>
        </w:r>
        <w:r w:rsidRPr="00F17574">
          <w:rPr>
            <w:rStyle w:val="PageNumber"/>
            <w:rFonts w:ascii="Times New Roman" w:hAnsi="Times New Roman" w:cs="Times New Roman"/>
          </w:rPr>
          <w:instrText xml:space="preserve"> PAGE </w:instrText>
        </w:r>
        <w:r w:rsidRPr="00F17574">
          <w:rPr>
            <w:rStyle w:val="PageNumber"/>
            <w:rFonts w:ascii="Times New Roman" w:hAnsi="Times New Roman" w:cs="Times New Roman"/>
          </w:rPr>
          <w:fldChar w:fldCharType="separate"/>
        </w:r>
        <w:r w:rsidRPr="00F17574">
          <w:rPr>
            <w:rStyle w:val="PageNumber"/>
            <w:rFonts w:ascii="Times New Roman" w:hAnsi="Times New Roman" w:cs="Times New Roman"/>
            <w:noProof/>
          </w:rPr>
          <w:t>1</w:t>
        </w:r>
        <w:r w:rsidRPr="00F17574">
          <w:rPr>
            <w:rStyle w:val="PageNumber"/>
            <w:rFonts w:ascii="Times New Roman" w:hAnsi="Times New Roman" w:cs="Times New Roman"/>
          </w:rPr>
          <w:fldChar w:fldCharType="end"/>
        </w:r>
      </w:p>
    </w:sdtContent>
  </w:sdt>
  <w:p w14:paraId="16371761" w14:textId="77777777" w:rsidR="00F17574" w:rsidRDefault="00F17574" w:rsidP="00F17574">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574"/>
    <w:rsid w:val="002D18C1"/>
    <w:rsid w:val="00340CA1"/>
    <w:rsid w:val="006E6E77"/>
    <w:rsid w:val="007A6D8F"/>
    <w:rsid w:val="00A55B13"/>
    <w:rsid w:val="00C81059"/>
    <w:rsid w:val="00E94F3A"/>
    <w:rsid w:val="00EF56EE"/>
    <w:rsid w:val="00F17574"/>
    <w:rsid w:val="00FD499C"/>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1E9F21C1"/>
  <w15:chartTrackingRefBased/>
  <w15:docId w15:val="{A80465EA-F21E-504E-BDBD-A9B9FA15C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7574"/>
    <w:rPr>
      <w:rFonts w:ascii="Georgia" w:eastAsia="Georgia" w:hAnsi="Georgia" w:cs="Georgia"/>
      <w:kern w:val="0"/>
      <w:sz w:val="22"/>
      <w:szCs w:val="22"/>
      <w:lang w:eastAsia="en-GB"/>
      <w14:ligatures w14:val="none"/>
    </w:rPr>
  </w:style>
  <w:style w:type="paragraph" w:styleId="Heading1">
    <w:name w:val="heading 1"/>
    <w:basedOn w:val="Normal"/>
    <w:next w:val="Normal"/>
    <w:link w:val="Heading1Char"/>
    <w:uiPriority w:val="9"/>
    <w:qFormat/>
    <w:rsid w:val="00F17574"/>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F17574"/>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F17574"/>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F17574"/>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F17574"/>
    <w:pPr>
      <w:keepNext/>
      <w:keepLines/>
      <w:spacing w:before="80" w:after="4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F17574"/>
    <w:pPr>
      <w:keepNext/>
      <w:keepLines/>
      <w:spacing w:before="4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F17574"/>
    <w:pPr>
      <w:keepNext/>
      <w:keepLines/>
      <w:spacing w:before="4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F17574"/>
    <w:pPr>
      <w:keepNext/>
      <w:keepLines/>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F17574"/>
    <w:pPr>
      <w:keepNext/>
      <w:keepLines/>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75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175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75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75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75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75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75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75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7574"/>
    <w:rPr>
      <w:rFonts w:eastAsiaTheme="majorEastAsia" w:cstheme="majorBidi"/>
      <w:color w:val="272727" w:themeColor="text1" w:themeTint="D8"/>
    </w:rPr>
  </w:style>
  <w:style w:type="paragraph" w:styleId="Title">
    <w:name w:val="Title"/>
    <w:basedOn w:val="Normal"/>
    <w:next w:val="Normal"/>
    <w:link w:val="TitleChar"/>
    <w:uiPriority w:val="10"/>
    <w:qFormat/>
    <w:rsid w:val="00F1757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F175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7574"/>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F175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7574"/>
    <w:pPr>
      <w:spacing w:before="160" w:after="16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F17574"/>
    <w:rPr>
      <w:i/>
      <w:iCs/>
      <w:color w:val="404040" w:themeColor="text1" w:themeTint="BF"/>
    </w:rPr>
  </w:style>
  <w:style w:type="paragraph" w:styleId="ListParagraph">
    <w:name w:val="List Paragraph"/>
    <w:basedOn w:val="Normal"/>
    <w:uiPriority w:val="34"/>
    <w:qFormat/>
    <w:rsid w:val="00F17574"/>
    <w:pPr>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F17574"/>
    <w:rPr>
      <w:i/>
      <w:iCs/>
      <w:color w:val="0F4761" w:themeColor="accent1" w:themeShade="BF"/>
    </w:rPr>
  </w:style>
  <w:style w:type="paragraph" w:styleId="IntenseQuote">
    <w:name w:val="Intense Quote"/>
    <w:basedOn w:val="Normal"/>
    <w:next w:val="Normal"/>
    <w:link w:val="IntenseQuoteChar"/>
    <w:uiPriority w:val="30"/>
    <w:qFormat/>
    <w:rsid w:val="00F17574"/>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F17574"/>
    <w:rPr>
      <w:i/>
      <w:iCs/>
      <w:color w:val="0F4761" w:themeColor="accent1" w:themeShade="BF"/>
    </w:rPr>
  </w:style>
  <w:style w:type="character" w:styleId="IntenseReference">
    <w:name w:val="Intense Reference"/>
    <w:basedOn w:val="DefaultParagraphFont"/>
    <w:uiPriority w:val="32"/>
    <w:qFormat/>
    <w:rsid w:val="00F17574"/>
    <w:rPr>
      <w:b/>
      <w:bCs/>
      <w:smallCaps/>
      <w:color w:val="0F4761" w:themeColor="accent1" w:themeShade="BF"/>
      <w:spacing w:val="5"/>
    </w:rPr>
  </w:style>
  <w:style w:type="paragraph" w:styleId="Header">
    <w:name w:val="header"/>
    <w:basedOn w:val="Normal"/>
    <w:link w:val="HeaderChar"/>
    <w:uiPriority w:val="99"/>
    <w:unhideWhenUsed/>
    <w:rsid w:val="00F17574"/>
    <w:pPr>
      <w:tabs>
        <w:tab w:val="center" w:pos="4513"/>
        <w:tab w:val="right" w:pos="9026"/>
      </w:tabs>
    </w:pPr>
  </w:style>
  <w:style w:type="character" w:customStyle="1" w:styleId="HeaderChar">
    <w:name w:val="Header Char"/>
    <w:basedOn w:val="DefaultParagraphFont"/>
    <w:link w:val="Header"/>
    <w:uiPriority w:val="99"/>
    <w:rsid w:val="00F17574"/>
    <w:rPr>
      <w:rFonts w:ascii="Georgia" w:eastAsia="Georgia" w:hAnsi="Georgia" w:cs="Georgia"/>
      <w:kern w:val="0"/>
      <w:sz w:val="22"/>
      <w:szCs w:val="22"/>
      <w:lang w:eastAsia="en-GB"/>
      <w14:ligatures w14:val="none"/>
    </w:rPr>
  </w:style>
  <w:style w:type="paragraph" w:styleId="Footer">
    <w:name w:val="footer"/>
    <w:basedOn w:val="Normal"/>
    <w:link w:val="FooterChar"/>
    <w:uiPriority w:val="99"/>
    <w:unhideWhenUsed/>
    <w:rsid w:val="00F17574"/>
    <w:pPr>
      <w:tabs>
        <w:tab w:val="center" w:pos="4513"/>
        <w:tab w:val="right" w:pos="9026"/>
      </w:tabs>
    </w:pPr>
  </w:style>
  <w:style w:type="character" w:customStyle="1" w:styleId="FooterChar">
    <w:name w:val="Footer Char"/>
    <w:basedOn w:val="DefaultParagraphFont"/>
    <w:link w:val="Footer"/>
    <w:uiPriority w:val="99"/>
    <w:rsid w:val="00F17574"/>
    <w:rPr>
      <w:rFonts w:ascii="Georgia" w:eastAsia="Georgia" w:hAnsi="Georgia" w:cs="Georgia"/>
      <w:kern w:val="0"/>
      <w:sz w:val="22"/>
      <w:szCs w:val="22"/>
      <w:lang w:eastAsia="en-GB"/>
      <w14:ligatures w14:val="none"/>
    </w:rPr>
  </w:style>
  <w:style w:type="character" w:styleId="PageNumber">
    <w:name w:val="page number"/>
    <w:basedOn w:val="DefaultParagraphFont"/>
    <w:uiPriority w:val="99"/>
    <w:semiHidden/>
    <w:unhideWhenUsed/>
    <w:rsid w:val="00F175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1330</Words>
  <Characters>7581</Characters>
  <Application>Microsoft Office Word</Application>
  <DocSecurity>0</DocSecurity>
  <Lines>63</Lines>
  <Paragraphs>17</Paragraphs>
  <ScaleCrop>false</ScaleCrop>
  <Company/>
  <LinksUpToDate>false</LinksUpToDate>
  <CharactersWithSpaces>8894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Martinou</dc:creator>
  <cp:keywords/>
  <dc:description/>
  <cp:lastModifiedBy>Ioanna Martinou</cp:lastModifiedBy>
  <cp:revision>2</cp:revision>
  <dcterms:created xsi:type="dcterms:W3CDTF">2026-06-14T21:21:00Z</dcterms:created>
  <dcterms:modified xsi:type="dcterms:W3CDTF">2026-06-14T21:31:00Z</dcterms:modified>
</cp:coreProperties>
</file>